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E/>
        <w:autoSpaceDN/>
        <w:adjustRightInd/>
        <w:snapToGrid/>
        <w:spacing w:before="450" w:after="300" w:line="540" w:lineRule="atLeast"/>
        <w:jc w:val="center"/>
        <w:outlineLvl w:val="0"/>
        <w:rPr>
          <w:rFonts w:hint="eastAsia" w:asciiTheme="minorEastAsia" w:hAnsiTheme="minorEastAsia" w:eastAsiaTheme="minorEastAsia" w:cstheme="minorEastAsia"/>
          <w:b/>
          <w:bCs/>
          <w:color w:val="C00000"/>
          <w:spacing w:val="0"/>
          <w:kern w:val="36"/>
          <w:sz w:val="36"/>
          <w:szCs w:val="36"/>
        </w:rPr>
      </w:pPr>
      <w:r>
        <w:rPr>
          <w:rFonts w:hint="eastAsia" w:asciiTheme="minorEastAsia" w:hAnsiTheme="minorEastAsia" w:eastAsiaTheme="minorEastAsia" w:cstheme="minorEastAsia"/>
          <w:b/>
          <w:bCs/>
          <w:color w:val="C00000"/>
          <w:spacing w:val="0"/>
          <w:kern w:val="36"/>
          <w:sz w:val="36"/>
          <w:szCs w:val="36"/>
        </w:rPr>
        <w:t>关于印发《中央财政科研项目专家咨询费管理办法》的通知</w:t>
      </w:r>
      <w:bookmarkStart w:id="10" w:name="_GoBack"/>
      <w:bookmarkEnd w:id="10"/>
    </w:p>
    <w:p>
      <w:pPr>
        <w:spacing w:line="360" w:lineRule="auto"/>
        <w:ind w:firstLine="472" w:firstLineChars="2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财科教〔2017〕128号</w:t>
      </w:r>
    </w:p>
    <w:p>
      <w:pPr>
        <w:spacing w:line="360" w:lineRule="auto"/>
        <w:ind w:firstLine="472" w:firstLineChars="200"/>
        <w:jc w:val="both"/>
        <w:rPr>
          <w:rFonts w:hint="eastAsia" w:asciiTheme="minorEastAsia" w:hAnsiTheme="minorEastAsia" w:eastAsiaTheme="minorEastAsia" w:cstheme="minorEastAsia"/>
          <w:color w:val="auto"/>
          <w:sz w:val="24"/>
          <w:szCs w:val="24"/>
        </w:rPr>
      </w:pPr>
      <w:bookmarkStart w:id="0" w:name="toDeptId"/>
      <w:r>
        <w:rPr>
          <w:rFonts w:hint="eastAsia" w:asciiTheme="minorEastAsia" w:hAnsiTheme="minorEastAsia" w:eastAsiaTheme="minorEastAsia" w:cstheme="minorEastAsia"/>
          <w:color w:val="auto"/>
          <w:sz w:val="24"/>
          <w:szCs w:val="24"/>
        </w:rPr>
        <w:t>有关单位</w:t>
      </w:r>
      <w:bookmarkEnd w:id="0"/>
      <w:r>
        <w:rPr>
          <w:rFonts w:hint="eastAsia" w:asciiTheme="minorEastAsia" w:hAnsiTheme="minorEastAsia" w:eastAsiaTheme="minorEastAsia" w:cstheme="minorEastAsia"/>
          <w:color w:val="auto"/>
          <w:sz w:val="24"/>
          <w:szCs w:val="24"/>
        </w:rPr>
        <w:t>：</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根据中央本级项目支出定额标准管理和预算管理的要求，为进一步规范和加强中央级科研项目专家咨询活动的经费支出管理，提高资金使用效益，我们制定了《中央财政科研项目专家咨询费管理办法》，现印发你们，请遵照执行。 </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附件：中央财政科研项目专家咨询费管理办法 </w:t>
      </w:r>
    </w:p>
    <w:p>
      <w:pPr>
        <w:spacing w:line="360" w:lineRule="auto"/>
        <w:ind w:firstLine="47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w:t>
      </w:r>
    </w:p>
    <w:p>
      <w:pPr>
        <w:spacing w:line="360" w:lineRule="auto"/>
        <w:ind w:firstLine="47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w:t>
      </w:r>
    </w:p>
    <w:p>
      <w:pPr>
        <w:spacing w:line="360" w:lineRule="auto"/>
        <w:ind w:firstLine="472"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财  政  部</w:t>
      </w:r>
    </w:p>
    <w:p>
      <w:pPr>
        <w:spacing w:line="360" w:lineRule="auto"/>
        <w:ind w:firstLine="472"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2017年9月4日</w:t>
      </w:r>
    </w:p>
    <w:p>
      <w:pPr>
        <w:widowControl/>
        <w:shd w:val="clear" w:color="auto" w:fill="FFFFFF"/>
        <w:autoSpaceDE/>
        <w:autoSpaceDN/>
        <w:adjustRightInd/>
        <w:snapToGrid/>
        <w:spacing w:line="480" w:lineRule="atLeast"/>
        <w:jc w:val="right"/>
        <w:rPr>
          <w:rFonts w:hint="eastAsia" w:asciiTheme="minorEastAsia" w:hAnsiTheme="minorEastAsia" w:eastAsiaTheme="minorEastAsia" w:cstheme="minorEastAsia"/>
          <w:color w:val="auto"/>
          <w:spacing w:val="0"/>
          <w:kern w:val="0"/>
          <w:sz w:val="21"/>
          <w:szCs w:val="21"/>
        </w:rPr>
      </w:pPr>
    </w:p>
    <w:p>
      <w:pPr>
        <w:spacing w:line="360" w:lineRule="auto"/>
        <w:jc w:val="center"/>
        <w:rPr>
          <w:rFonts w:hint="eastAsia" w:asciiTheme="minorEastAsia" w:hAnsiTheme="minorEastAsia" w:eastAsiaTheme="minorEastAsia" w:cstheme="minorEastAsia"/>
          <w:b/>
          <w:bCs/>
          <w:color w:val="auto"/>
          <w:sz w:val="36"/>
          <w:szCs w:val="32"/>
        </w:rPr>
      </w:pPr>
      <w:r>
        <w:rPr>
          <w:rFonts w:hint="eastAsia" w:asciiTheme="minorEastAsia" w:hAnsiTheme="minorEastAsia" w:eastAsiaTheme="minorEastAsia" w:cstheme="minorEastAsia"/>
          <w:b/>
          <w:bCs/>
          <w:color w:val="auto"/>
          <w:sz w:val="36"/>
          <w:szCs w:val="32"/>
        </w:rPr>
        <w:t>中央财政科研项目专家咨询费管理办法</w:t>
      </w:r>
    </w:p>
    <w:p>
      <w:pPr>
        <w:spacing w:line="360" w:lineRule="auto"/>
        <w:jc w:val="center"/>
        <w:rPr>
          <w:rFonts w:hint="eastAsia" w:asciiTheme="minorEastAsia" w:hAnsiTheme="minorEastAsia" w:eastAsiaTheme="minorEastAsia" w:cstheme="minorEastAsia"/>
          <w:color w:val="auto"/>
          <w:sz w:val="24"/>
          <w:szCs w:val="24"/>
        </w:rPr>
      </w:pP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第一条  为加强和规范专家咨询费的管理，</w:t>
      </w:r>
      <w:r>
        <w:rPr>
          <w:rFonts w:hint="eastAsia" w:asciiTheme="minorEastAsia" w:hAnsiTheme="minorEastAsia" w:eastAsiaTheme="minorEastAsia" w:cstheme="minorEastAsia"/>
          <w:bCs/>
          <w:color w:val="auto"/>
          <w:sz w:val="24"/>
          <w:szCs w:val="24"/>
        </w:rPr>
        <w:t>根据《预算法》以及中央本级项目支出定额标准等国家有关预算管理制度规定</w:t>
      </w:r>
      <w:r>
        <w:rPr>
          <w:rFonts w:hint="eastAsia" w:asciiTheme="minorEastAsia" w:hAnsiTheme="minorEastAsia" w:eastAsiaTheme="minorEastAsia" w:cstheme="minorEastAsia"/>
          <w:color w:val="auto"/>
          <w:sz w:val="24"/>
          <w:szCs w:val="24"/>
        </w:rPr>
        <w:t>，制定本办法。</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第二条  专家咨询费是指科研项目（课题）承担单位（以下简称单位）在项目（课题）实施过程中支付给临时聘请的咨询专家的费用。</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第三条  </w:t>
      </w:r>
      <w:r>
        <w:rPr>
          <w:rFonts w:hint="eastAsia" w:asciiTheme="minorEastAsia" w:hAnsiTheme="minorEastAsia" w:eastAsiaTheme="minorEastAsia" w:cstheme="minorEastAsia"/>
          <w:bCs/>
          <w:color w:val="auto"/>
          <w:sz w:val="24"/>
          <w:szCs w:val="24"/>
        </w:rPr>
        <w:t>本办法适用于由中央财政科研项目资金列支的专家咨询费</w:t>
      </w:r>
      <w:r>
        <w:rPr>
          <w:rFonts w:hint="eastAsia" w:asciiTheme="minorEastAsia" w:hAnsiTheme="minorEastAsia" w:eastAsiaTheme="minorEastAsia" w:cstheme="minorEastAsia"/>
          <w:color w:val="auto"/>
          <w:sz w:val="24"/>
          <w:szCs w:val="24"/>
        </w:rPr>
        <w:t>。</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第四条 本办法的专家是指精通某一领域业务，或对相关科技业务的某一方面有独到见解，</w:t>
      </w:r>
      <w:bookmarkStart w:id="1" w:name="OLE_LINK8"/>
      <w:r>
        <w:rPr>
          <w:rFonts w:hint="eastAsia" w:asciiTheme="minorEastAsia" w:hAnsiTheme="minorEastAsia" w:eastAsiaTheme="minorEastAsia" w:cstheme="minorEastAsia"/>
          <w:color w:val="auto"/>
          <w:sz w:val="24"/>
          <w:szCs w:val="24"/>
          <w:lang w:bidi="ar"/>
        </w:rPr>
        <w:t>已取得高级专业技术</w:t>
      </w:r>
      <w:r>
        <w:rPr>
          <w:rFonts w:hint="eastAsia" w:asciiTheme="minorEastAsia" w:hAnsiTheme="minorEastAsia" w:eastAsiaTheme="minorEastAsia" w:cstheme="minorEastAsia"/>
          <w:color w:val="auto"/>
          <w:sz w:val="24"/>
          <w:szCs w:val="24"/>
        </w:rPr>
        <w:t>职称</w:t>
      </w:r>
      <w:r>
        <w:rPr>
          <w:rFonts w:hint="eastAsia" w:asciiTheme="minorEastAsia" w:hAnsiTheme="minorEastAsia" w:eastAsiaTheme="minorEastAsia" w:cstheme="minorEastAsia"/>
          <w:color w:val="auto"/>
          <w:sz w:val="24"/>
          <w:szCs w:val="24"/>
          <w:lang w:bidi="ar"/>
        </w:rPr>
        <w:t>的人员或被科研项目（课题）承担单位认可的其他专业人员</w:t>
      </w:r>
      <w:bookmarkEnd w:id="1"/>
      <w:r>
        <w:rPr>
          <w:rFonts w:hint="eastAsia" w:asciiTheme="minorEastAsia" w:hAnsiTheme="minorEastAsia" w:eastAsiaTheme="minorEastAsia" w:cstheme="minorEastAsia"/>
          <w:color w:val="auto"/>
          <w:sz w:val="24"/>
          <w:szCs w:val="24"/>
          <w:lang w:bidi="ar"/>
        </w:rPr>
        <w:t>。</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第五条  单位应当结合实际制定统一、合理、规范的咨询专家遴选办法，并在单位内部公开。具备条件的单位应当建立多领域、多学科的咨询专家库。</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第六条  高级专业技术职称人员的专家咨询费标准为</w:t>
      </w:r>
      <w:r>
        <w:rPr>
          <w:rFonts w:hint="eastAsia" w:asciiTheme="minorEastAsia" w:hAnsiTheme="minorEastAsia" w:eastAsiaTheme="minorEastAsia" w:cstheme="minorEastAsia"/>
          <w:bCs/>
          <w:color w:val="auto"/>
          <w:sz w:val="24"/>
          <w:szCs w:val="24"/>
        </w:rPr>
        <w:t>1500-2400元</w:t>
      </w:r>
      <w:r>
        <w:rPr>
          <w:rFonts w:hint="eastAsia" w:asciiTheme="minorEastAsia" w:hAnsiTheme="minorEastAsia" w:eastAsiaTheme="minorEastAsia" w:cstheme="minorEastAsia"/>
          <w:color w:val="auto"/>
          <w:sz w:val="24"/>
          <w:szCs w:val="24"/>
        </w:rPr>
        <w:t>／人天</w:t>
      </w:r>
      <w:r>
        <w:rPr>
          <w:rFonts w:hint="eastAsia" w:asciiTheme="minorEastAsia" w:hAnsiTheme="minorEastAsia" w:eastAsiaTheme="minorEastAsia" w:cstheme="minorEastAsia"/>
          <w:bCs/>
          <w:color w:val="auto"/>
          <w:sz w:val="24"/>
          <w:szCs w:val="24"/>
        </w:rPr>
        <w:t>（税后）</w:t>
      </w:r>
      <w:r>
        <w:rPr>
          <w:rFonts w:hint="eastAsia" w:asciiTheme="minorEastAsia" w:hAnsiTheme="minorEastAsia" w:eastAsiaTheme="minorEastAsia" w:cstheme="minorEastAsia"/>
          <w:color w:val="auto"/>
          <w:sz w:val="24"/>
          <w:szCs w:val="24"/>
        </w:rPr>
        <w:t>；其他专业人员的专家咨询费标准为</w:t>
      </w:r>
      <w:r>
        <w:rPr>
          <w:rFonts w:hint="eastAsia" w:asciiTheme="minorEastAsia" w:hAnsiTheme="minorEastAsia" w:eastAsiaTheme="minorEastAsia" w:cstheme="minorEastAsia"/>
          <w:bCs/>
          <w:color w:val="auto"/>
          <w:sz w:val="24"/>
          <w:szCs w:val="24"/>
        </w:rPr>
        <w:t>900-1500元</w:t>
      </w:r>
      <w:r>
        <w:rPr>
          <w:rFonts w:hint="eastAsia" w:asciiTheme="minorEastAsia" w:hAnsiTheme="minorEastAsia" w:eastAsiaTheme="minorEastAsia" w:cstheme="minorEastAsia"/>
          <w:color w:val="auto"/>
          <w:sz w:val="24"/>
          <w:szCs w:val="24"/>
        </w:rPr>
        <w:t>／人天</w:t>
      </w:r>
      <w:r>
        <w:rPr>
          <w:rFonts w:hint="eastAsia" w:asciiTheme="minorEastAsia" w:hAnsiTheme="minorEastAsia" w:eastAsiaTheme="minorEastAsia" w:cstheme="minorEastAsia"/>
          <w:bCs/>
          <w:color w:val="auto"/>
          <w:sz w:val="24"/>
          <w:szCs w:val="24"/>
        </w:rPr>
        <w:t>（税后）</w:t>
      </w:r>
      <w:r>
        <w:rPr>
          <w:rFonts w:hint="eastAsia" w:asciiTheme="minorEastAsia" w:hAnsiTheme="minorEastAsia" w:eastAsiaTheme="minorEastAsia" w:cstheme="minorEastAsia"/>
          <w:color w:val="auto"/>
          <w:sz w:val="24"/>
          <w:szCs w:val="24"/>
        </w:rPr>
        <w:t>。</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第七条  院士、全国知名专家，可按照高级专业技术职称人员的专家咨询费标准上浮50%执行。</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第八条  本办法所指专家咨询活动的组织形式主要有会议、</w:t>
      </w:r>
      <w:bookmarkStart w:id="2" w:name="OLE_LINK1"/>
      <w:r>
        <w:rPr>
          <w:rFonts w:hint="eastAsia" w:asciiTheme="minorEastAsia" w:hAnsiTheme="minorEastAsia" w:eastAsiaTheme="minorEastAsia" w:cstheme="minorEastAsia"/>
          <w:bCs/>
          <w:color w:val="auto"/>
          <w:sz w:val="24"/>
          <w:szCs w:val="24"/>
        </w:rPr>
        <w:t>现场访谈或者勘察</w:t>
      </w:r>
      <w:bookmarkEnd w:id="2"/>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rPr>
        <w:t>通讯三种形式。</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（1）以会议形式组织的咨询，是指通过召开专家参加的会议，征询专家的意见和建议。</w:t>
      </w:r>
    </w:p>
    <w:p>
      <w:pPr>
        <w:spacing w:line="360" w:lineRule="auto"/>
        <w:ind w:firstLine="472" w:firstLineChars="200"/>
        <w:jc w:val="both"/>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（2）以现场访谈或者勘察形式组织的咨询，是指通过组织现场谈话，或者查看实地、实物、原始业务资料等方式征询专家的意见和建议。</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（3）以通讯形式组织的咨询，是指通过信函、邮件等方式征询专家的意见和建议。</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pict>
          <v:shape id="_x0000_s1027" o:spid="_x0000_s1027" o:spt="202" type="#_x0000_t202" style="position:absolute;left:0pt;margin-left:39.1pt;margin-top:50.65pt;height:40pt;width:49.4pt;z-index:-251658240;mso-width-relative:page;mso-height-relative:page;" stroked="t" coordsize="21600,21600">
            <v:path/>
            <v:fill focussize="0,0"/>
            <v:stroke color="#FFFFFF" joinstyle="miter"/>
            <v:imagedata o:title=""/>
            <o:lock v:ext="edit"/>
            <v:textbox>
              <w:txbxContent>
                <w:p>
                  <w:pPr>
                    <w:rPr>
                      <w:b/>
                      <w:bCs/>
                      <w:sz w:val="28"/>
                      <w:szCs w:val="28"/>
                    </w:rPr>
                  </w:pPr>
                  <w:bookmarkStart w:id="9" w:name="OLE_LINK2"/>
                  <w:r>
                    <w:rPr>
                      <w:rFonts w:hint="eastAsia"/>
                      <w:b/>
                      <w:bCs/>
                      <w:sz w:val="28"/>
                      <w:szCs w:val="28"/>
                    </w:rPr>
                    <w:t>会期</w:t>
                  </w:r>
                  <w:bookmarkEnd w:id="9"/>
                </w:p>
              </w:txbxContent>
            </v:textbox>
          </v:shape>
        </w:pict>
      </w:r>
      <w:r>
        <w:rPr>
          <w:rFonts w:hint="eastAsia" w:asciiTheme="minorEastAsia" w:hAnsiTheme="minorEastAsia" w:eastAsiaTheme="minorEastAsia" w:cstheme="minorEastAsia"/>
          <w:color w:val="auto"/>
          <w:sz w:val="24"/>
          <w:szCs w:val="24"/>
        </w:rPr>
        <w:t>第九条  不同形式组织的专家咨询活动适用专家咨询费标准如下：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2225"/>
        <w:gridCol w:w="2150"/>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tcPr>
          <w:p>
            <w:pPr>
              <w:spacing w:line="360" w:lineRule="auto"/>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pict>
                <v:shape id="_x0000_s1028" o:spid="_x0000_s1028" o:spt="202" type="#_x0000_t202" style="position:absolute;left:0pt;margin-left:-11.35pt;margin-top:15.7pt;height:51.9pt;width:76.85pt;z-index:-251659264;mso-width-relative:page;mso-height-relative:page;" stroked="t" coordsize="21600,21600">
                  <v:path/>
                  <v:fill focussize="0,0"/>
                  <v:stroke color="#FFFFFF" joinstyle="miter"/>
                  <v:imagedata o:title=""/>
                  <o:lock v:ext="edit"/>
                  <v:textbox>
                    <w:txbxContent>
                      <w:p>
                        <w:pPr>
                          <w:rPr>
                            <w:b/>
                            <w:bCs/>
                            <w:sz w:val="28"/>
                            <w:szCs w:val="28"/>
                          </w:rPr>
                        </w:pPr>
                        <w:r>
                          <w:rPr>
                            <w:rFonts w:hint="eastAsia"/>
                            <w:b/>
                            <w:bCs/>
                            <w:sz w:val="28"/>
                            <w:szCs w:val="28"/>
                          </w:rPr>
                          <w:t>组织形式</w:t>
                        </w:r>
                      </w:p>
                    </w:txbxContent>
                  </v:textbox>
                </v:shape>
              </w:pict>
            </w:r>
            <w:r>
              <w:rPr>
                <w:rFonts w:hint="eastAsia" w:asciiTheme="minorEastAsia" w:hAnsiTheme="minorEastAsia" w:eastAsiaTheme="minorEastAsia" w:cstheme="minorEastAsia"/>
                <w:color w:val="auto"/>
                <w:sz w:val="24"/>
                <w:szCs w:val="24"/>
              </w:rPr>
              <w:pict>
                <v:line id="_x0000_s1026" o:spid="_x0000_s1026" o:spt="20" style="position:absolute;left:0pt;margin-left:-6.7pt;margin-top:0.45pt;height:54.35pt;width:90.65pt;z-index:251658240;mso-width-relative:page;mso-height-relative:page;" coordsize="21600,21600">
                  <v:path arrowok="t"/>
                  <v:fill focussize="0,0"/>
                  <v:stroke/>
                  <v:imagedata o:title=""/>
                  <o:lock v:ext="edit"/>
                </v:line>
              </w:pict>
            </w:r>
          </w:p>
        </w:tc>
        <w:tc>
          <w:tcPr>
            <w:tcW w:w="2225" w:type="dxa"/>
          </w:tcPr>
          <w:p>
            <w:pPr>
              <w:spacing w:line="360" w:lineRule="auto"/>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半天</w:t>
            </w:r>
          </w:p>
        </w:tc>
        <w:tc>
          <w:tcPr>
            <w:tcW w:w="2150" w:type="dxa"/>
          </w:tcPr>
          <w:p>
            <w:pPr>
              <w:spacing w:line="360" w:lineRule="auto"/>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不超过两天（含两天）</w:t>
            </w:r>
          </w:p>
        </w:tc>
        <w:tc>
          <w:tcPr>
            <w:tcW w:w="2361" w:type="dxa"/>
          </w:tcPr>
          <w:p>
            <w:pPr>
              <w:spacing w:line="360" w:lineRule="auto"/>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超过两天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Align w:val="center"/>
          </w:tcPr>
          <w:p>
            <w:pPr>
              <w:spacing w:line="360" w:lineRule="auto"/>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会议</w:t>
            </w:r>
          </w:p>
        </w:tc>
        <w:tc>
          <w:tcPr>
            <w:tcW w:w="2225" w:type="dxa"/>
            <w:vAlign w:val="center"/>
          </w:tcPr>
          <w:p>
            <w:pPr>
              <w:spacing w:line="360" w:lineRule="auto"/>
              <w:jc w:val="both"/>
              <w:rPr>
                <w:rFonts w:hint="eastAsia" w:asciiTheme="minorEastAsia" w:hAnsiTheme="minorEastAsia" w:eastAsiaTheme="minorEastAsia" w:cstheme="minorEastAsia"/>
                <w:color w:val="auto"/>
                <w:sz w:val="24"/>
                <w:szCs w:val="24"/>
              </w:rPr>
            </w:pPr>
            <w:bookmarkStart w:id="3" w:name="OLE_LINK4"/>
            <w:r>
              <w:rPr>
                <w:rFonts w:hint="eastAsia" w:asciiTheme="minorEastAsia" w:hAnsiTheme="minorEastAsia" w:eastAsiaTheme="minorEastAsia" w:cstheme="minorEastAsia"/>
                <w:color w:val="auto"/>
                <w:sz w:val="24"/>
                <w:szCs w:val="24"/>
              </w:rPr>
              <w:t>按照本办法第六条所规定标准的60%执行</w:t>
            </w:r>
            <w:bookmarkEnd w:id="3"/>
            <w:r>
              <w:rPr>
                <w:rFonts w:hint="eastAsia" w:asciiTheme="minorEastAsia" w:hAnsiTheme="minorEastAsia" w:eastAsiaTheme="minorEastAsia" w:cstheme="minorEastAsia"/>
                <w:color w:val="auto"/>
                <w:sz w:val="24"/>
                <w:szCs w:val="24"/>
              </w:rPr>
              <w:t>。</w:t>
            </w:r>
          </w:p>
        </w:tc>
        <w:tc>
          <w:tcPr>
            <w:tcW w:w="2150" w:type="dxa"/>
            <w:vAlign w:val="center"/>
          </w:tcPr>
          <w:p>
            <w:pPr>
              <w:spacing w:line="360" w:lineRule="auto"/>
              <w:jc w:val="both"/>
              <w:rPr>
                <w:rFonts w:hint="eastAsia" w:asciiTheme="minorEastAsia" w:hAnsiTheme="minorEastAsia" w:eastAsiaTheme="minorEastAsia" w:cstheme="minorEastAsia"/>
                <w:color w:val="auto"/>
                <w:sz w:val="24"/>
                <w:szCs w:val="24"/>
              </w:rPr>
            </w:pPr>
            <w:bookmarkStart w:id="4" w:name="OLE_LINK3"/>
            <w:r>
              <w:rPr>
                <w:rFonts w:hint="eastAsia" w:asciiTheme="minorEastAsia" w:hAnsiTheme="minorEastAsia" w:eastAsiaTheme="minorEastAsia" w:cstheme="minorEastAsia"/>
                <w:color w:val="auto"/>
                <w:sz w:val="24"/>
                <w:szCs w:val="24"/>
              </w:rPr>
              <w:t>按照本办法第六条所规定的标准执行</w:t>
            </w:r>
            <w:bookmarkEnd w:id="4"/>
            <w:r>
              <w:rPr>
                <w:rFonts w:hint="eastAsia" w:asciiTheme="minorEastAsia" w:hAnsiTheme="minorEastAsia" w:eastAsiaTheme="minorEastAsia" w:cstheme="minorEastAsia"/>
                <w:color w:val="auto"/>
                <w:sz w:val="24"/>
                <w:szCs w:val="24"/>
              </w:rPr>
              <w:t>。</w:t>
            </w:r>
          </w:p>
        </w:tc>
        <w:tc>
          <w:tcPr>
            <w:tcW w:w="2361" w:type="dxa"/>
            <w:vAlign w:val="center"/>
          </w:tcPr>
          <w:p>
            <w:pPr>
              <w:spacing w:line="360" w:lineRule="auto"/>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第一天、第二天：按照本办法第六条所规定的标准执行；</w:t>
            </w:r>
          </w:p>
          <w:p>
            <w:pPr>
              <w:spacing w:line="360" w:lineRule="auto"/>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第三天及以后：按照本办法第六条所规定标准的50%执行。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Align w:val="center"/>
          </w:tcPr>
          <w:p>
            <w:pPr>
              <w:spacing w:line="360" w:lineRule="auto"/>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现场访谈或者勘察</w:t>
            </w:r>
          </w:p>
        </w:tc>
        <w:tc>
          <w:tcPr>
            <w:tcW w:w="6736" w:type="dxa"/>
            <w:gridSpan w:val="3"/>
            <w:vAlign w:val="center"/>
          </w:tcPr>
          <w:p>
            <w:pPr>
              <w:spacing w:line="360" w:lineRule="auto"/>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按照上述以会议形式组织的专家咨询费相关标准执行。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Align w:val="center"/>
          </w:tcPr>
          <w:p>
            <w:pPr>
              <w:spacing w:line="360" w:lineRule="auto"/>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通讯</w:t>
            </w:r>
          </w:p>
        </w:tc>
        <w:tc>
          <w:tcPr>
            <w:tcW w:w="6736" w:type="dxa"/>
            <w:gridSpan w:val="3"/>
            <w:vAlign w:val="center"/>
          </w:tcPr>
          <w:p>
            <w:pPr>
              <w:spacing w:line="360" w:lineRule="auto"/>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按次计算，每次按照本办法第六条所规定标准的20-50%执行。</w:t>
            </w:r>
          </w:p>
        </w:tc>
      </w:tr>
    </w:tbl>
    <w:p>
      <w:pPr>
        <w:spacing w:line="360" w:lineRule="auto"/>
        <w:ind w:firstLine="472" w:firstLineChars="200"/>
        <w:jc w:val="both"/>
        <w:rPr>
          <w:rFonts w:hint="eastAsia" w:asciiTheme="minorEastAsia" w:hAnsiTheme="minorEastAsia" w:eastAsiaTheme="minorEastAsia" w:cstheme="minorEastAsia"/>
          <w:color w:val="auto"/>
          <w:sz w:val="24"/>
          <w:szCs w:val="24"/>
        </w:rPr>
      </w:pP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第十条  不同领域、相同专业技术职称的专家咨询费标准应当保持一致。</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第十一条  </w:t>
      </w:r>
      <w:bookmarkStart w:id="5" w:name="OLE_LINK9"/>
      <w:r>
        <w:rPr>
          <w:rFonts w:hint="eastAsia" w:asciiTheme="minorEastAsia" w:hAnsiTheme="minorEastAsia" w:eastAsiaTheme="minorEastAsia" w:cstheme="minorEastAsia"/>
          <w:color w:val="auto"/>
          <w:sz w:val="24"/>
          <w:szCs w:val="24"/>
        </w:rPr>
        <w:t>根据国家经济</w:t>
      </w:r>
      <w:bookmarkStart w:id="6" w:name="OLE_LINK5"/>
      <w:r>
        <w:rPr>
          <w:rFonts w:hint="eastAsia" w:asciiTheme="minorEastAsia" w:hAnsiTheme="minorEastAsia" w:eastAsiaTheme="minorEastAsia" w:cstheme="minorEastAsia"/>
          <w:color w:val="auto"/>
          <w:sz w:val="24"/>
          <w:szCs w:val="24"/>
        </w:rPr>
        <w:t>社会发展水平和物价变动等情况</w:t>
      </w:r>
      <w:bookmarkEnd w:id="6"/>
      <w:r>
        <w:rPr>
          <w:rFonts w:hint="eastAsia" w:asciiTheme="minorEastAsia" w:hAnsiTheme="minorEastAsia" w:eastAsiaTheme="minorEastAsia" w:cstheme="minorEastAsia"/>
          <w:color w:val="auto"/>
          <w:sz w:val="24"/>
          <w:szCs w:val="24"/>
        </w:rPr>
        <w:t>，</w:t>
      </w:r>
      <w:bookmarkStart w:id="7" w:name="OLE_LINK6"/>
      <w:r>
        <w:rPr>
          <w:rFonts w:hint="eastAsia" w:asciiTheme="minorEastAsia" w:hAnsiTheme="minorEastAsia" w:eastAsiaTheme="minorEastAsia" w:cstheme="minorEastAsia"/>
          <w:color w:val="auto"/>
          <w:sz w:val="24"/>
          <w:szCs w:val="24"/>
        </w:rPr>
        <w:t>财政部适时</w:t>
      </w:r>
      <w:bookmarkEnd w:id="7"/>
      <w:r>
        <w:rPr>
          <w:rFonts w:hint="eastAsia" w:asciiTheme="minorEastAsia" w:hAnsiTheme="minorEastAsia" w:eastAsiaTheme="minorEastAsia" w:cstheme="minorEastAsia"/>
          <w:color w:val="auto"/>
          <w:sz w:val="24"/>
          <w:szCs w:val="24"/>
        </w:rPr>
        <w:t>对专家咨询费标准进行调整</w:t>
      </w:r>
      <w:bookmarkEnd w:id="5"/>
      <w:r>
        <w:rPr>
          <w:rFonts w:hint="eastAsia" w:asciiTheme="minorEastAsia" w:hAnsiTheme="minorEastAsia" w:eastAsiaTheme="minorEastAsia" w:cstheme="minorEastAsia"/>
          <w:color w:val="auto"/>
          <w:sz w:val="24"/>
          <w:szCs w:val="24"/>
        </w:rPr>
        <w:t>。</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第十二条  专家咨询费不得支付给参与项目（课题）研究及其管理的相关人员。</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第十三条  专家咨询费的发放应当按照国家有关规定由单位代扣代缴个人所得税。</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第十四条  单位发放专家咨询费原则上采用银行转账方式。</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第十五条  单位应当建立专家咨询费的支付审核机制，负责核实</w:t>
      </w:r>
      <w:r>
        <w:rPr>
          <w:rFonts w:hint="eastAsia" w:asciiTheme="minorEastAsia" w:hAnsiTheme="minorEastAsia" w:eastAsiaTheme="minorEastAsia" w:cstheme="minorEastAsia"/>
          <w:bCs/>
          <w:color w:val="auto"/>
          <w:sz w:val="24"/>
          <w:szCs w:val="24"/>
        </w:rPr>
        <w:t>专家咨询行为及</w:t>
      </w:r>
      <w:r>
        <w:rPr>
          <w:rFonts w:hint="eastAsia" w:asciiTheme="minorEastAsia" w:hAnsiTheme="minorEastAsia" w:eastAsiaTheme="minorEastAsia" w:cstheme="minorEastAsia"/>
          <w:color w:val="auto"/>
          <w:sz w:val="24"/>
          <w:szCs w:val="24"/>
        </w:rPr>
        <w:t>专家咨询费发放的真实性、合规性，并及时向代理银行办理支付手续。对专家信息不真实、</w:t>
      </w:r>
      <w:r>
        <w:rPr>
          <w:rFonts w:hint="eastAsia" w:asciiTheme="minorEastAsia" w:hAnsiTheme="minorEastAsia" w:eastAsiaTheme="minorEastAsia" w:cstheme="minorEastAsia"/>
          <w:bCs/>
          <w:color w:val="auto"/>
          <w:sz w:val="24"/>
          <w:szCs w:val="24"/>
        </w:rPr>
        <w:t>存在虚假咨询行为</w:t>
      </w:r>
      <w:bookmarkStart w:id="8" w:name="OLE_LINK7"/>
      <w:r>
        <w:rPr>
          <w:rFonts w:hint="eastAsia" w:asciiTheme="minorEastAsia" w:hAnsiTheme="minorEastAsia" w:eastAsiaTheme="minorEastAsia" w:cstheme="minorEastAsia"/>
          <w:bCs/>
          <w:color w:val="auto"/>
          <w:sz w:val="24"/>
          <w:szCs w:val="24"/>
        </w:rPr>
        <w:t>，以及其他违反本办法或单位有关规定</w:t>
      </w:r>
      <w:r>
        <w:rPr>
          <w:rFonts w:hint="eastAsia" w:asciiTheme="minorEastAsia" w:hAnsiTheme="minorEastAsia" w:eastAsiaTheme="minorEastAsia" w:cstheme="minorEastAsia"/>
          <w:color w:val="auto"/>
          <w:sz w:val="24"/>
          <w:szCs w:val="24"/>
        </w:rPr>
        <w:t>的，</w:t>
      </w:r>
      <w:bookmarkEnd w:id="8"/>
      <w:r>
        <w:rPr>
          <w:rFonts w:hint="eastAsia" w:asciiTheme="minorEastAsia" w:hAnsiTheme="minorEastAsia" w:eastAsiaTheme="minorEastAsia" w:cstheme="minorEastAsia"/>
          <w:color w:val="auto"/>
          <w:sz w:val="24"/>
          <w:szCs w:val="24"/>
        </w:rPr>
        <w:t>单位</w:t>
      </w:r>
      <w:r>
        <w:rPr>
          <w:rFonts w:hint="eastAsia" w:asciiTheme="minorEastAsia" w:hAnsiTheme="minorEastAsia" w:eastAsiaTheme="minorEastAsia" w:cstheme="minorEastAsia"/>
          <w:bCs/>
          <w:color w:val="auto"/>
          <w:sz w:val="24"/>
          <w:szCs w:val="24"/>
        </w:rPr>
        <w:t>应当</w:t>
      </w:r>
      <w:r>
        <w:rPr>
          <w:rFonts w:hint="eastAsia" w:asciiTheme="minorEastAsia" w:hAnsiTheme="minorEastAsia" w:eastAsiaTheme="minorEastAsia" w:cstheme="minorEastAsia"/>
          <w:color w:val="auto"/>
          <w:sz w:val="24"/>
          <w:szCs w:val="24"/>
        </w:rPr>
        <w:t>拒绝办理支付手续。</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第十六条  单位应当对专家咨询费的开支做好财务记录，并及时归档，定期对专家咨询费支付情况进行检查。</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第十七条  地方财政科研项目开支的专家咨询费可参照本办法，结合本地实际予以执行。</w:t>
      </w:r>
    </w:p>
    <w:p>
      <w:pPr>
        <w:spacing w:line="360" w:lineRule="auto"/>
        <w:ind w:firstLine="472" w:firstLineChars="200"/>
        <w:jc w:val="both"/>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第十八条  单位可根据本办法有关规定，结合单位实际制定实施细则。</w:t>
      </w:r>
    </w:p>
    <w:p>
      <w:pPr>
        <w:spacing w:line="360" w:lineRule="auto"/>
        <w:ind w:firstLine="472"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第十九条  本办法</w:t>
      </w:r>
      <w:r>
        <w:rPr>
          <w:rFonts w:hint="eastAsia" w:asciiTheme="minorEastAsia" w:hAnsiTheme="minorEastAsia" w:eastAsiaTheme="minorEastAsia" w:cstheme="minorEastAsia"/>
          <w:bCs/>
          <w:color w:val="auto"/>
          <w:sz w:val="24"/>
          <w:szCs w:val="24"/>
        </w:rPr>
        <w:t>自印发之日起施行</w:t>
      </w:r>
      <w:r>
        <w:rPr>
          <w:rFonts w:hint="eastAsia" w:asciiTheme="minorEastAsia" w:hAnsiTheme="minorEastAsia" w:eastAsiaTheme="minorEastAsia" w:cstheme="minorEastAsia"/>
          <w:color w:val="auto"/>
          <w:sz w:val="24"/>
          <w:szCs w:val="24"/>
        </w:rPr>
        <w:t>。</w:t>
      </w:r>
    </w:p>
    <w:p>
      <w:pPr>
        <w:rPr>
          <w:rFonts w:hint="eastAsia" w:asciiTheme="minorEastAsia" w:hAnsiTheme="minorEastAsia" w:eastAsiaTheme="minorEastAsia" w:cstheme="minorEastAsia"/>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8CF001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81CE2"/>
    <w:rsid w:val="00333AE4"/>
    <w:rsid w:val="005C01CC"/>
    <w:rsid w:val="00721E95"/>
    <w:rsid w:val="00917B3A"/>
    <w:rsid w:val="00A81CE2"/>
    <w:rsid w:val="00AD0515"/>
    <w:rsid w:val="00C3191E"/>
    <w:rsid w:val="00ED0F8A"/>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570E33CE"/>
    <w:rsid w:val="5C9F23DD"/>
    <w:rsid w:val="60442DF0"/>
    <w:rsid w:val="71766CB5"/>
    <w:rsid w:val="761218BB"/>
    <w:rsid w:val="76F3502D"/>
    <w:rsid w:val="7EA70903"/>
    <w:rsid w:val="7EEA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paragraph" w:styleId="2">
    <w:name w:val="heading 1"/>
    <w:basedOn w:val="1"/>
    <w:next w:val="1"/>
    <w:link w:val="9"/>
    <w:qFormat/>
    <w:uiPriority w:val="9"/>
    <w:pPr>
      <w:widowControl/>
      <w:autoSpaceDE/>
      <w:autoSpaceDN/>
      <w:adjustRightInd/>
      <w:snapToGrid/>
      <w:spacing w:before="100" w:beforeAutospacing="1" w:after="100" w:afterAutospacing="1" w:line="240" w:lineRule="auto"/>
      <w:jc w:val="left"/>
      <w:outlineLvl w:val="0"/>
    </w:pPr>
    <w:rPr>
      <w:rFonts w:eastAsia="宋体" w:cs="宋体"/>
      <w:b/>
      <w:bCs/>
      <w:spacing w:val="0"/>
      <w:kern w:val="36"/>
      <w:sz w:val="48"/>
      <w:szCs w:val="48"/>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5">
    <w:name w:val="Normal (Web)"/>
    <w:basedOn w:val="1"/>
    <w:unhideWhenUsed/>
    <w:uiPriority w:val="99"/>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标题 1 Char"/>
    <w:basedOn w:val="6"/>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238</Words>
  <Characters>1360</Characters>
  <Lines>11</Lines>
  <Paragraphs>3</Paragraphs>
  <TotalTime>0</TotalTime>
  <ScaleCrop>false</ScaleCrop>
  <LinksUpToDate>false</LinksUpToDate>
  <CharactersWithSpaces>1595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2017-04-12T01:04:00Z</dcterms:created>
  <dc:creator>李炳娴</dc:creator>
  <cp:lastModifiedBy>旧城Mr</cp:lastModifiedBy>
  <cp:lastPrinted>2017-07-11T08:08:00Z</cp:lastPrinted>
  <dcterms:modified xsi:type="dcterms:W3CDTF">2017-11-02T02:11:24Z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