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before="0" w:after="0" w:line="560" w:lineRule="exact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北京化工大学会议费决算表</w:t>
      </w:r>
      <w:bookmarkEnd w:id="0"/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80"/>
        <w:gridCol w:w="1250"/>
        <w:gridCol w:w="814"/>
        <w:gridCol w:w="1008"/>
        <w:gridCol w:w="1862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会议名称</w:t>
            </w:r>
          </w:p>
        </w:tc>
        <w:tc>
          <w:tcPr>
            <w:tcW w:w="1435" w:type="pct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会议地点</w:t>
            </w:r>
          </w:p>
        </w:tc>
        <w:tc>
          <w:tcPr>
            <w:tcW w:w="2138" w:type="pct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会议形式</w:t>
            </w:r>
          </w:p>
        </w:tc>
        <w:tc>
          <w:tcPr>
            <w:tcW w:w="1435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□全线下      □全线上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□线上与线下相结合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会议类别</w:t>
            </w:r>
          </w:p>
        </w:tc>
        <w:tc>
          <w:tcPr>
            <w:tcW w:w="21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□国内业务会议       □国内管理会议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□在华举办国际会议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会议天数</w:t>
            </w:r>
          </w:p>
        </w:tc>
        <w:tc>
          <w:tcPr>
            <w:tcW w:w="1435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592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参会人数</w:t>
            </w:r>
          </w:p>
        </w:tc>
        <w:tc>
          <w:tcPr>
            <w:tcW w:w="21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共      人（其中:工作人员   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  <w:lang w:bidi="ar"/>
              </w:rPr>
              <w:t>一、会议费收入（单位：元）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注册费收入</w:t>
            </w: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企业赞助收入</w:t>
            </w: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项目经费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其他收入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left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其他收入说明：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  <w:lang w:bidi="ar"/>
              </w:rPr>
              <w:t>二、会议费支出（单位：元）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(一）综合定额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标准内支出</w:t>
            </w: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伙食费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住宿费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其他费用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  <w:u w:val="single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（二）综合定额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标准外支出</w:t>
            </w: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1.人员费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参会专家人员费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同声传译人员翻译费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会务人员劳务费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2.其他支出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邀请、外聘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人员国内旅费</w:t>
            </w: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邀请、外聘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人员国际旅费</w:t>
            </w: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同声传译设备租金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41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3.线上会议支出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312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□设备租赁费      □线路费        □电视电话会议通话费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□技术服务费      □软件应用费    □音视频制作费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 xml:space="preserve">□其他费用： 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312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left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955" w:type="pct"/>
            <w:gridSpan w:val="6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  <w:lang w:bidi="ar"/>
              </w:rPr>
              <w:t>上述支出费用合计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6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5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超预算情况说明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（不超综合定额标准）</w:t>
            </w:r>
          </w:p>
        </w:tc>
        <w:tc>
          <w:tcPr>
            <w:tcW w:w="3942" w:type="pct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□参会人数超预算      □会议费总额超预算     □其他超预算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超预算情况说明：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u w:val="single"/>
                <w:lang w:bidi="ar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5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Cs w:val="21"/>
                <w:lang w:bidi="ar"/>
              </w:rPr>
              <w:t>特殊情况说明</w:t>
            </w:r>
          </w:p>
        </w:tc>
        <w:tc>
          <w:tcPr>
            <w:tcW w:w="3942" w:type="pct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Style w:val="5"/>
                <w:rFonts w:hint="default"/>
                <w:spacing w:val="-6"/>
                <w:sz w:val="21"/>
                <w:szCs w:val="21"/>
                <w:lang w:bidi="ar"/>
              </w:rPr>
              <w:t>1.根据会议性质和有关工作要求，无法提供 会议通知 签到表会议 审批及预算表 其他：</w:t>
            </w:r>
            <w:r>
              <w:rPr>
                <w:rStyle w:val="5"/>
                <w:rFonts w:hint="default"/>
                <w:spacing w:val="-6"/>
                <w:sz w:val="21"/>
                <w:szCs w:val="21"/>
                <w:u w:val="single"/>
                <w:lang w:bidi="ar"/>
              </w:rPr>
              <w:t xml:space="preserve">                                 </w:t>
            </w:r>
            <w:r>
              <w:rPr>
                <w:rStyle w:val="6"/>
                <w:rFonts w:hint="default"/>
                <w:spacing w:val="-6"/>
                <w:sz w:val="21"/>
                <w:szCs w:val="21"/>
                <w:lang w:bidi="ar"/>
              </w:rPr>
              <w:t xml:space="preserve"> </w:t>
            </w:r>
            <w:r>
              <w:rPr>
                <w:rStyle w:val="5"/>
                <w:rFonts w:hint="default"/>
                <w:spacing w:val="-6"/>
                <w:sz w:val="21"/>
                <w:szCs w:val="21"/>
                <w:lang w:bidi="ar"/>
              </w:rPr>
              <w:t>，特此说明。</w:t>
            </w:r>
          </w:p>
          <w:p>
            <w:pPr>
              <w:widowControl/>
              <w:spacing w:line="320" w:lineRule="exact"/>
              <w:ind w:left="-63" w:leftChars="-30" w:right="-63" w:rightChars="-3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Style w:val="5"/>
                <w:rFonts w:hint="default"/>
                <w:spacing w:val="-6"/>
                <w:sz w:val="21"/>
                <w:szCs w:val="21"/>
                <w:lang w:bidi="ar"/>
              </w:rPr>
              <w:t>2.其他说明：</w:t>
            </w:r>
            <w:r>
              <w:rPr>
                <w:rStyle w:val="5"/>
                <w:rFonts w:hint="default"/>
                <w:spacing w:val="-6"/>
                <w:sz w:val="21"/>
                <w:szCs w:val="21"/>
                <w:u w:val="single"/>
                <w:lang w:bidi="ar"/>
              </w:rPr>
              <w:t xml:space="preserve">                                                   </w:t>
            </w:r>
            <w:r>
              <w:rPr>
                <w:rStyle w:val="5"/>
                <w:rFonts w:hint="default"/>
                <w:spacing w:val="-6"/>
                <w:sz w:val="21"/>
                <w:szCs w:val="21"/>
                <w:lang w:bidi="ar"/>
              </w:rPr>
              <w:t xml:space="preserve">。                                                                                   </w:t>
            </w:r>
          </w:p>
          <w:p>
            <w:pPr>
              <w:widowControl/>
              <w:spacing w:line="320" w:lineRule="exact"/>
              <w:ind w:left="-63" w:leftChars="-30" w:right="-63" w:rightChars="-30" w:firstLine="4554" w:firstLineChars="2300"/>
              <w:jc w:val="left"/>
              <w:textAlignment w:val="center"/>
              <w:rPr>
                <w:rFonts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Style w:val="5"/>
                <w:rFonts w:hint="default"/>
                <w:spacing w:val="-6"/>
                <w:sz w:val="21"/>
                <w:szCs w:val="21"/>
                <w:lang w:bidi="ar"/>
              </w:rPr>
              <w:t xml:space="preserve">经办人（签字）：   </w:t>
            </w:r>
          </w:p>
        </w:tc>
      </w:tr>
    </w:tbl>
    <w:p>
      <w:pPr>
        <w:widowControl/>
        <w:spacing w:line="32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经费负责人（签字）：                              国际会议审批（签字）：</w:t>
      </w:r>
    </w:p>
    <w:p>
      <w:pPr>
        <w:spacing w:line="320" w:lineRule="exact"/>
        <w:rPr>
          <w:rFonts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同意会议费超预算支出。                            审批人（签字）：</w:t>
      </w:r>
    </w:p>
    <w:p>
      <w:pPr>
        <w:widowControl/>
        <w:spacing w:line="32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备注：1.综合定额标准为各类会议费开支上限，超支部分不予报销。</w:t>
      </w:r>
    </w:p>
    <w:p>
      <w:pPr>
        <w:widowControl/>
        <w:spacing w:line="32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     2.各类会议结束后，应及时统一办理报销手续。</w:t>
      </w:r>
    </w:p>
    <w:p>
      <w:pPr>
        <w:spacing w:line="320" w:lineRule="exact"/>
        <w:rPr>
          <w:rFonts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 xml:space="preserve">      3.综合定额标准内支出的其他费用包括会议场地租金、交通费、文件印刷费、办公文具、医药费等。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0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adjustRightInd w:val="0"/>
      <w:snapToGrid w:val="0"/>
      <w:spacing w:before="120" w:after="60" w:line="300" w:lineRule="auto"/>
      <w:jc w:val="center"/>
      <w:outlineLvl w:val="0"/>
    </w:pPr>
    <w:rPr>
      <w:rFonts w:ascii="Cambria" w:hAnsi="Cambria" w:eastAsia="方正小标宋简体"/>
      <w:bCs/>
      <w:sz w:val="36"/>
      <w:szCs w:val="32"/>
    </w:rPr>
  </w:style>
  <w:style w:type="character" w:customStyle="1" w:styleId="5">
    <w:name w:val="font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51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569</Characters>
  <Lines>0</Lines>
  <Paragraphs>0</Paragraphs>
  <TotalTime>0</TotalTime>
  <ScaleCrop>false</ScaleCrop>
  <LinksUpToDate>false</LinksUpToDate>
  <CharactersWithSpaces>920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2025-12-09T06:18:01Z</dcterms:created>
  <dc:creator>buct02</dc:creator>
  <cp:lastModifiedBy>孙倩</cp:lastModifiedBy>
  <dcterms:modified xsi:type="dcterms:W3CDTF">2025-12-09T06:18:08Z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664E83C6E32447FFB1BEC85A21857812</vt:lpwstr>
  </property>
</Properties>
</file>