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900" w:leader="none"/>
        </w:tabs>
        <w:snapToGrid w:val="false"/>
        <w:spacing w:before="46" w:after="46"/>
        <w:ind w:left="585" w:right="105" w:hanging="480"/>
        <w:rPr>
          <w:rFonts w:eastAsia="黑体;SimHei" w:cs="宋体;SimSun" w:ascii="黑体;SimHei" w:hAnsi="黑体;SimHei"/>
          <w:color w:val="000000"/>
          <w:sz w:val="32"/>
          <w:szCs w:val="32"/>
        </w:rPr>
      </w:pPr>
      <w:r>
        <w:rPr>
          <w:rFonts w:ascii="黑体;SimHei" w:hAnsi="黑体;SimHei" w:cs="宋体;SimSun" w:eastAsia="黑体;SimHei"/>
          <w:color w:val="000000"/>
          <w:sz w:val="32"/>
          <w:szCs w:val="32"/>
        </w:rPr>
        <w:t>附件</w:t>
      </w:r>
      <w:r>
        <w:rPr>
          <w:rFonts w:eastAsia="黑体;SimHei" w:cs="宋体;SimSun" w:ascii="黑体;SimHei" w:hAnsi="黑体;SimHei"/>
          <w:color w:val="000000"/>
          <w:sz w:val="32"/>
          <w:szCs w:val="32"/>
        </w:rPr>
        <w:t>4</w:t>
      </w:r>
    </w:p>
    <w:p>
      <w:pPr>
        <w:pStyle w:val="Normal"/>
        <w:tabs>
          <w:tab w:val="left" w:pos="0" w:leader="none"/>
        </w:tabs>
        <w:snapToGrid w:val="false"/>
        <w:spacing w:before="46" w:after="46"/>
        <w:ind w:left="1" w:right="105" w:hanging="1"/>
        <w:jc w:val="center"/>
        <w:rPr>
          <w:rFonts w:ascii="方正小标宋简体" w:hAnsi="方正小标宋简体" w:cs="宋体;SimSun" w:eastAsia="方正小标宋简体"/>
          <w:color w:val="000000"/>
          <w:sz w:val="36"/>
          <w:szCs w:val="36"/>
        </w:rPr>
      </w:pPr>
      <w:bookmarkStart w:id="0" w:name="__DdeLink__11_325375132"/>
      <w:bookmarkEnd w:id="0"/>
      <w:r>
        <w:rPr>
          <w:rFonts w:ascii="方正小标宋简体" w:hAnsi="方正小标宋简体" w:cs="宋体;SimSun" w:eastAsia="方正小标宋简体"/>
          <w:color w:val="000000"/>
          <w:sz w:val="36"/>
          <w:szCs w:val="36"/>
        </w:rPr>
        <w:t>出差人员乘坐城市间交通工具的标准</w:t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8" w:space="0" w:color="000000"/>
          <w:insideH w:val="single" w:sz="8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3"/>
        <w:gridCol w:w="3010"/>
        <w:gridCol w:w="2185"/>
        <w:gridCol w:w="957"/>
        <w:gridCol w:w="1058"/>
        <w:gridCol w:w="1375"/>
      </w:tblGrid>
      <w:tr>
        <w:trPr>
          <w:trHeight w:val="708" w:hRule="atLeast"/>
          <w:cantSplit w:val="false"/>
        </w:trPr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级 别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火车（含高铁、动车、全列软席列车）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轮船（不包括旅游船）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飞机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其他交通工具（不包括出租小汽车）</w:t>
            </w:r>
          </w:p>
        </w:tc>
      </w:tr>
      <w:tr>
        <w:trPr>
          <w:trHeight w:val="624" w:hRule="atLeast"/>
          <w:cantSplit w:val="false"/>
        </w:trPr>
        <w:tc>
          <w:tcPr>
            <w:tcW w:w="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简称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包含人员</w:t>
            </w:r>
          </w:p>
        </w:tc>
        <w:tc>
          <w:tcPr>
            <w:tcW w:w="2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cs="宋体;SimSun" w:ascii="宋体;SimSun" w:hAnsi="宋体;SimSun"/>
                <w:sz w:val="24"/>
                <w:szCs w:val="24"/>
              </w:rPr>
            </w:pPr>
            <w:r>
              <w:rPr>
                <w:rFonts w:cs="宋体;SimSun" w:ascii="宋体;SimSun" w:hAnsi="宋体;SimSun"/>
                <w:sz w:val="24"/>
                <w:szCs w:val="24"/>
              </w:rPr>
            </w:r>
          </w:p>
        </w:tc>
        <w:tc>
          <w:tcPr>
            <w:tcW w:w="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cs="宋体;SimSun" w:ascii="宋体;SimSun" w:hAnsi="宋体;SimSun"/>
                <w:sz w:val="24"/>
                <w:szCs w:val="24"/>
              </w:rPr>
            </w:pPr>
            <w:r>
              <w:rPr>
                <w:rFonts w:cs="宋体;SimSun" w:ascii="宋体;SimSun" w:hAnsi="宋体;SimSun"/>
                <w:sz w:val="24"/>
                <w:szCs w:val="24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cs="宋体;SimSun" w:ascii="宋体;SimSun" w:hAnsi="宋体;SimSun"/>
                <w:sz w:val="24"/>
                <w:szCs w:val="24"/>
              </w:rPr>
            </w:pPr>
            <w:r>
              <w:rPr>
                <w:rFonts w:cs="宋体;SimSun" w:ascii="宋体;SimSun" w:hAnsi="宋体;SimSun"/>
                <w:sz w:val="24"/>
                <w:szCs w:val="24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cs="宋体;SimSun" w:ascii="宋体;SimSun" w:hAnsi="宋体;SimSun"/>
                <w:sz w:val="24"/>
                <w:szCs w:val="24"/>
              </w:rPr>
            </w:pPr>
            <w:r>
              <w:rPr>
                <w:rFonts w:cs="宋体;SimSun" w:ascii="宋体;SimSun" w:hAnsi="宋体;SimSu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snapToGrid w:val="false"/>
              <w:spacing w:before="46" w:after="46"/>
              <w:ind w:left="0" w:right="0" w:hanging="0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部级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20"/>
              <w:widowControl/>
              <w:numPr>
                <w:ilvl w:val="0"/>
                <w:numId w:val="1"/>
              </w:numPr>
              <w:snapToGrid w:val="false"/>
              <w:spacing w:before="36" w:after="36"/>
              <w:ind w:left="0" w:right="0" w:hanging="0"/>
              <w:jc w:val="left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部级</w:t>
            </w:r>
          </w:p>
          <w:p>
            <w:pPr>
              <w:pStyle w:val="Style20"/>
              <w:widowControl/>
              <w:numPr>
                <w:ilvl w:val="0"/>
                <w:numId w:val="1"/>
              </w:numPr>
              <w:snapToGrid w:val="false"/>
              <w:spacing w:before="36" w:after="36"/>
              <w:ind w:left="0" w:right="0" w:hanging="0"/>
              <w:jc w:val="left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职员制管理一、二级岗位及相当职务人员</w:t>
            </w:r>
          </w:p>
          <w:p>
            <w:pPr>
              <w:pStyle w:val="Style20"/>
              <w:widowControl/>
              <w:numPr>
                <w:ilvl w:val="0"/>
                <w:numId w:val="1"/>
              </w:numPr>
              <w:snapToGrid w:val="false"/>
              <w:spacing w:before="36" w:after="36"/>
              <w:ind w:left="0" w:right="0" w:hanging="0"/>
              <w:jc w:val="left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院士及相当于院士的专业技术人员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火车软席（软座、软卧）；</w:t>
            </w:r>
          </w:p>
          <w:p>
            <w:pPr>
              <w:pStyle w:val="Normal"/>
              <w:snapToGrid w:val="false"/>
              <w:spacing w:before="46" w:after="46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高铁</w:t>
            </w:r>
            <w:r>
              <w:rPr>
                <w:rFonts w:cs="宋体;SimSun" w:ascii="宋体;SimSun" w:hAnsi="宋体;SimSun"/>
                <w:sz w:val="24"/>
                <w:szCs w:val="24"/>
              </w:rPr>
              <w:t>/</w:t>
            </w:r>
            <w:r>
              <w:rPr>
                <w:rFonts w:ascii="宋体;SimSun" w:hAnsi="宋体;SimSun" w:cs="宋体;SimSun"/>
                <w:sz w:val="24"/>
                <w:szCs w:val="24"/>
              </w:rPr>
              <w:t>动车商务座；</w:t>
            </w:r>
          </w:p>
          <w:p>
            <w:pPr>
              <w:pStyle w:val="Normal"/>
              <w:snapToGrid w:val="false"/>
              <w:spacing w:before="46" w:after="46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全列软席列车一等软座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一等舱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头等舱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凭据报销</w:t>
            </w:r>
          </w:p>
        </w:tc>
      </w:tr>
      <w:tr>
        <w:trPr>
          <w:cantSplit w:val="false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snapToGrid w:val="false"/>
              <w:spacing w:before="46" w:after="46"/>
              <w:ind w:left="0" w:right="0" w:hanging="0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局级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20"/>
              <w:widowControl/>
              <w:numPr>
                <w:ilvl w:val="0"/>
                <w:numId w:val="2"/>
              </w:numPr>
              <w:snapToGrid w:val="false"/>
              <w:spacing w:before="36" w:after="36"/>
              <w:ind w:left="0" w:right="0" w:hanging="0"/>
              <w:jc w:val="left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司局级</w:t>
            </w:r>
          </w:p>
          <w:p>
            <w:pPr>
              <w:pStyle w:val="Style20"/>
              <w:widowControl/>
              <w:numPr>
                <w:ilvl w:val="0"/>
                <w:numId w:val="2"/>
              </w:numPr>
              <w:snapToGrid w:val="false"/>
              <w:spacing w:before="36" w:after="36"/>
              <w:ind w:left="0" w:right="0" w:hanging="0"/>
              <w:jc w:val="left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职员制管理三、四级岗及相当职务人员</w:t>
            </w:r>
          </w:p>
          <w:p>
            <w:pPr>
              <w:pStyle w:val="Style20"/>
              <w:widowControl/>
              <w:numPr>
                <w:ilvl w:val="0"/>
                <w:numId w:val="2"/>
              </w:numPr>
              <w:snapToGrid w:val="false"/>
              <w:spacing w:before="36" w:after="36"/>
              <w:ind w:left="0" w:right="0" w:hanging="0"/>
              <w:jc w:val="left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教授等正高级职称人员；</w:t>
            </w:r>
          </w:p>
          <w:p>
            <w:pPr>
              <w:pStyle w:val="Style20"/>
              <w:widowControl/>
              <w:numPr>
                <w:ilvl w:val="0"/>
                <w:numId w:val="2"/>
              </w:numPr>
              <w:snapToGrid w:val="false"/>
              <w:spacing w:before="36" w:after="36"/>
              <w:ind w:left="0" w:right="0" w:hanging="0"/>
              <w:jc w:val="left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岗位工资在五级（含五级）以上其他具有高级职称的专业技术人员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火车软席（软座、软卧）；</w:t>
            </w:r>
          </w:p>
          <w:p>
            <w:pPr>
              <w:pStyle w:val="Normal"/>
              <w:snapToGrid w:val="false"/>
              <w:spacing w:before="46" w:after="46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高铁</w:t>
            </w:r>
            <w:r>
              <w:rPr>
                <w:rFonts w:cs="宋体;SimSun" w:ascii="宋体;SimSun" w:hAnsi="宋体;SimSun"/>
                <w:sz w:val="24"/>
                <w:szCs w:val="24"/>
              </w:rPr>
              <w:t>/</w:t>
            </w:r>
            <w:r>
              <w:rPr>
                <w:rFonts w:ascii="宋体;SimSun" w:hAnsi="宋体;SimSun" w:cs="宋体;SimSun"/>
                <w:sz w:val="24"/>
                <w:szCs w:val="24"/>
              </w:rPr>
              <w:t>动车一等座；</w:t>
            </w:r>
          </w:p>
          <w:p>
            <w:pPr>
              <w:pStyle w:val="Normal"/>
              <w:snapToGrid w:val="false"/>
              <w:spacing w:before="46" w:after="46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全列软席列车一等软座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二等舱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经济舱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凭据报销</w:t>
            </w:r>
          </w:p>
        </w:tc>
      </w:tr>
      <w:tr>
        <w:trPr>
          <w:cantSplit w:val="false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其余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其余人员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火车硬席（硬座、硬卧）；</w:t>
            </w:r>
          </w:p>
          <w:p>
            <w:pPr>
              <w:pStyle w:val="Normal"/>
              <w:snapToGrid w:val="false"/>
              <w:spacing w:before="46" w:after="46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高铁</w:t>
            </w:r>
            <w:r>
              <w:rPr>
                <w:rFonts w:cs="宋体;SimSun" w:ascii="宋体;SimSun" w:hAnsi="宋体;SimSun"/>
                <w:sz w:val="24"/>
                <w:szCs w:val="24"/>
              </w:rPr>
              <w:t>/</w:t>
            </w:r>
            <w:r>
              <w:rPr>
                <w:rFonts w:ascii="宋体;SimSun" w:hAnsi="宋体;SimSun" w:cs="宋体;SimSun"/>
                <w:sz w:val="24"/>
                <w:szCs w:val="24"/>
              </w:rPr>
              <w:t>动车二等座；</w:t>
            </w:r>
          </w:p>
          <w:p>
            <w:pPr>
              <w:pStyle w:val="Normal"/>
              <w:snapToGrid w:val="false"/>
              <w:spacing w:before="46" w:after="46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全列软席列车二等软座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三等舱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经济舱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46" w:after="46"/>
              <w:jc w:val="center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凭据报销</w:t>
            </w:r>
          </w:p>
        </w:tc>
      </w:tr>
    </w:tbl>
    <w:p>
      <w:pPr>
        <w:pStyle w:val="Normal"/>
        <w:snapToGrid w:val="false"/>
        <w:spacing w:before="46" w:after="46"/>
        <w:ind w:left="420" w:right="105" w:hanging="315"/>
        <w:rPr/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588" w:right="1474" w:header="0" w:top="2098" w:footer="1474" w:bottom="1985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  <w:font w:name="黑体">
    <w:altName w:val="SimHei"/>
    <w:charset w:val="86"/>
    <w:family w:val="modern"/>
    <w:pitch w:val="default"/>
  </w:font>
  <w:font w:name="方正小标宋简体">
    <w:charset w:val="86"/>
    <w:family w:val="script"/>
    <w:pitch w:val="default"/>
  </w:font>
  <w:font w:name="宋体">
    <w:altName w:val="SimSun"/>
    <w:charset w:val="86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ind w:left="0" w:right="0" w:firstLine="280"/>
      <w:rPr>
        <w:rFonts w:ascii="宋体;SimSun" w:hAnsi="宋体;SimSun" w:cs="宋体;SimSun"/>
        <w:sz w:val="28"/>
        <w:szCs w:val="28"/>
        <w:lang w:eastAsia="zh-CN"/>
      </w:rPr>
    </w:pPr>
    <w:r>
      <w:rPr>
        <w:rFonts w:ascii="宋体;SimSun" w:hAnsi="宋体;SimSun" w:cs="宋体;SimSun"/>
        <w:sz w:val="28"/>
        <w:szCs w:val="28"/>
        <w:lang w:eastAsia="zh-CN"/>
      </w:rPr>
      <w:t>—</w:t>
    </w:r>
    <w:r>
      <w:rPr>
        <w:sz w:val="28"/>
        <w:szCs w:val="28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ascii="宋体;SimSun" w:hAnsi="宋体;SimSun" w:cs="宋体;SimSun"/>
        <w:sz w:val="28"/>
        <w:szCs w:val="28"/>
        <w:lang w:eastAsia="zh-CN"/>
      </w:rPr>
      <w:t>—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jc w:val="right"/>
      <w:rPr>
        <w:rFonts w:eastAsia="Times New Roman"/>
        <w:sz w:val="28"/>
        <w:szCs w:val="28"/>
        <w:lang w:eastAsia="zh-CN"/>
      </w:rPr>
    </w:pPr>
    <w:r>
      <w:rPr>
        <w:rFonts w:ascii="宋体;SimSun" w:hAnsi="宋体;SimSun" w:cs="宋体;SimSun"/>
        <w:sz w:val="28"/>
        <w:szCs w:val="28"/>
        <w:lang w:eastAsia="zh-CN"/>
      </w:rPr>
      <w:t>—</w:t>
    </w:r>
    <w:r>
      <w:rPr>
        <w:sz w:val="28"/>
        <w:szCs w:val="28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ascii="宋体;SimSun" w:hAnsi="宋体;SimSun" w:cs="宋体;SimSun"/>
        <w:sz w:val="28"/>
        <w:szCs w:val="28"/>
        <w:lang w:eastAsia="zh-CN"/>
      </w:rPr>
      <w:t>—</w:t>
    </w:r>
    <w:r>
      <w:rPr>
        <w:rFonts w:eastAsia="Times New Roman"/>
        <w:sz w:val="28"/>
        <w:szCs w:val="28"/>
        <w:lang w:eastAsia="zh-CN"/>
      </w:rPr>
      <w:t xml:space="preserve">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4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20" w:hanging="42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3"/>
  <w:defaultTabStop w:val="420"/>
  <w:evenAndOddHeaders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Droid Sans Fallback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Droid Sans Fallback"/>
      <w:color w:val="auto"/>
      <w:sz w:val="24"/>
      <w:szCs w:val="24"/>
      <w:lang w:val="en-US" w:eastAsia="zh-CN" w:bidi="hi-IN"/>
    </w:rPr>
  </w:style>
  <w:style w:type="character" w:styleId="WW8Num25z0">
    <w:name w:val="WW8Num25z0"/>
    <w:rPr/>
  </w:style>
  <w:style w:type="character" w:styleId="WW8Num25z1">
    <w:name w:val="WW8Num25z1"/>
    <w:rPr/>
  </w:style>
  <w:style w:type="character" w:styleId="WW8Num25z2">
    <w:name w:val="WW8Num25z2"/>
    <w:rPr/>
  </w:style>
  <w:style w:type="character" w:styleId="WW8Num25z3">
    <w:name w:val="WW8Num25z3"/>
    <w:rPr/>
  </w:style>
  <w:style w:type="character" w:styleId="WW8Num25z4">
    <w:name w:val="WW8Num25z4"/>
    <w:rPr/>
  </w:style>
  <w:style w:type="character" w:styleId="WW8Num25z5">
    <w:name w:val="WW8Num25z5"/>
    <w:rPr/>
  </w:style>
  <w:style w:type="character" w:styleId="WW8Num25z6">
    <w:name w:val="WW8Num25z6"/>
    <w:rPr/>
  </w:style>
  <w:style w:type="character" w:styleId="WW8Num25z7">
    <w:name w:val="WW8Num25z7"/>
    <w:rPr/>
  </w:style>
  <w:style w:type="character" w:styleId="WW8Num25z8">
    <w:name w:val="WW8Num25z8"/>
    <w:rPr/>
  </w:style>
  <w:style w:type="character" w:styleId="WW8Num42z0">
    <w:name w:val="WW8Num42z0"/>
    <w:rPr/>
  </w:style>
  <w:style w:type="character" w:styleId="WW8Num42z1">
    <w:name w:val="WW8Num42z1"/>
    <w:rPr/>
  </w:style>
  <w:style w:type="character" w:styleId="WW8Num42z2">
    <w:name w:val="WW8Num42z2"/>
    <w:rPr/>
  </w:style>
  <w:style w:type="character" w:styleId="WW8Num42z3">
    <w:name w:val="WW8Num42z3"/>
    <w:rPr/>
  </w:style>
  <w:style w:type="character" w:styleId="WW8Num42z4">
    <w:name w:val="WW8Num42z4"/>
    <w:rPr/>
  </w:style>
  <w:style w:type="character" w:styleId="WW8Num42z5">
    <w:name w:val="WW8Num42z5"/>
    <w:rPr/>
  </w:style>
  <w:style w:type="character" w:styleId="WW8Num42z6">
    <w:name w:val="WW8Num42z6"/>
    <w:rPr/>
  </w:style>
  <w:style w:type="character" w:styleId="WW8Num42z7">
    <w:name w:val="WW8Num42z7"/>
    <w:rPr/>
  </w:style>
  <w:style w:type="character" w:styleId="WW8Num42z8">
    <w:name w:val="WW8Num42z8"/>
    <w:rPr/>
  </w:style>
  <w:style w:type="paragraph" w:styleId="Style14">
    <w:name w:val="标题"/>
    <w:basedOn w:val="Normal"/>
    <w:next w:val="Style15"/>
    <w:pPr>
      <w:keepNext/>
      <w:spacing w:before="240" w:after="120"/>
    </w:pPr>
    <w:rPr>
      <w:rFonts w:ascii="Liberation Sans" w:hAnsi="Liberation Sans" w:eastAsia="Droid Sans Fallback" w:cs="Droid Sans Fallback"/>
      <w:sz w:val="28"/>
      <w:szCs w:val="28"/>
    </w:rPr>
  </w:style>
  <w:style w:type="paragraph" w:styleId="Style15">
    <w:name w:val="正文"/>
    <w:basedOn w:val="Normal"/>
    <w:pPr>
      <w:spacing w:lineRule="auto" w:line="288" w:before="0" w:after="140"/>
    </w:pPr>
    <w:rPr/>
  </w:style>
  <w:style w:type="paragraph" w:styleId="Style16">
    <w:name w:val="列表"/>
    <w:basedOn w:val="Style15"/>
    <w:pPr/>
    <w:rPr/>
  </w:style>
  <w:style w:type="paragraph" w:styleId="Style17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索引"/>
    <w:basedOn w:val="Normal"/>
    <w:pPr>
      <w:suppressLineNumbers/>
    </w:pPr>
    <w:rPr/>
  </w:style>
  <w:style w:type="paragraph" w:styleId="Style19">
    <w:name w:val="页脚"/>
    <w:basedOn w:val="Normal"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  <w:lang w:val="zh-CN"/>
    </w:rPr>
  </w:style>
  <w:style w:type="paragraph" w:styleId="Style20">
    <w:name w:val="列出段落"/>
    <w:basedOn w:val="Normal"/>
    <w:pPr>
      <w:ind w:left="0" w:right="0" w:firstLine="420"/>
    </w:pPr>
    <w:rPr>
      <w:rFonts w:ascii="Calibri" w:hAnsi="Calibri" w:cs="Calibri"/>
      <w:szCs w:val="22"/>
    </w:rPr>
  </w:style>
  <w:style w:type="numbering" w:styleId="WW8Num25">
    <w:name w:val="WW8Num25"/>
  </w:style>
  <w:style w:type="numbering" w:styleId="WW8Num42">
    <w:name w:val="WW8Num4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2015-12-17T14:34:33Z</dcterms:created>
  <dc:language>zh-CN</dc:language>
  <cp:revision>0</cp:revision>
</cp:coreProperties>
</file>