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仿宋_GB2312" w:eastAsia="仿宋_GB2312"/>
          <w:b/>
          <w:sz w:val="30"/>
          <w:szCs w:val="30"/>
        </w:rPr>
      </w:pPr>
      <w:r>
        <w:rPr>
          <w:rFonts w:hint="eastAsia" w:ascii="仿宋_GB2312" w:eastAsia="仿宋_GB2312"/>
          <w:b/>
          <w:sz w:val="30"/>
          <w:szCs w:val="30"/>
        </w:rPr>
        <w:t>20</w:t>
      </w:r>
      <w:r>
        <w:rPr>
          <w:rFonts w:ascii="仿宋_GB2312" w:eastAsia="仿宋_GB2312"/>
          <w:b/>
          <w:sz w:val="30"/>
          <w:szCs w:val="30"/>
        </w:rPr>
        <w:t>2</w:t>
      </w:r>
      <w:r>
        <w:rPr>
          <w:rFonts w:hint="eastAsia" w:ascii="仿宋_GB2312" w:eastAsia="仿宋_GB2312"/>
          <w:b/>
          <w:sz w:val="30"/>
          <w:szCs w:val="30"/>
          <w:lang w:val="en-US" w:eastAsia="zh-CN"/>
        </w:rPr>
        <w:t>5</w:t>
      </w:r>
      <w:r>
        <w:rPr>
          <w:rFonts w:hint="eastAsia" w:ascii="仿宋_GB2312" w:eastAsia="仿宋_GB2312"/>
          <w:b/>
          <w:sz w:val="30"/>
          <w:szCs w:val="30"/>
        </w:rPr>
        <w:t>年北京化工大学校内预算支出科目说明</w:t>
      </w:r>
    </w:p>
    <w:p>
      <w:pPr>
        <w:spacing w:line="360" w:lineRule="auto"/>
        <w:outlineLvl w:val="0"/>
        <w:rPr>
          <w:rFonts w:ascii="仿宋" w:hAnsi="仿宋" w:eastAsia="仿宋"/>
          <w:b/>
          <w:bCs/>
          <w:color w:val="FF0000"/>
          <w:sz w:val="28"/>
          <w:szCs w:val="28"/>
        </w:rPr>
      </w:pPr>
      <w:r>
        <w:rPr>
          <w:rFonts w:hint="eastAsia" w:ascii="仿宋" w:hAnsi="仿宋" w:eastAsia="仿宋"/>
          <w:bCs/>
          <w:sz w:val="28"/>
          <w:szCs w:val="28"/>
        </w:rPr>
        <w:t>各项明细支出均按照财政部政府收支分类科目的要求填报，请认真阅读。</w:t>
      </w:r>
    </w:p>
    <w:tbl>
      <w:tblPr>
        <w:tblStyle w:val="5"/>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jc w:val="center"/>
              <w:rPr>
                <w:rFonts w:ascii="仿宋_GB2312" w:eastAsia="仿宋_GB2312"/>
                <w:b/>
                <w:sz w:val="24"/>
              </w:rPr>
            </w:pPr>
            <w:r>
              <w:rPr>
                <w:rFonts w:hint="eastAsia" w:ascii="仿宋_GB2312" w:eastAsia="仿宋_GB2312"/>
                <w:b/>
                <w:sz w:val="24"/>
              </w:rPr>
              <w:t>支出科目</w:t>
            </w:r>
          </w:p>
        </w:tc>
        <w:tc>
          <w:tcPr>
            <w:tcW w:w="6930" w:type="dxa"/>
            <w:tcBorders>
              <w:right w:val="nil"/>
            </w:tcBorders>
          </w:tcPr>
          <w:p>
            <w:pPr>
              <w:jc w:val="center"/>
              <w:rPr>
                <w:rFonts w:ascii="仿宋_GB2312" w:eastAsia="仿宋_GB2312"/>
                <w:b/>
                <w:sz w:val="24"/>
              </w:rPr>
            </w:pPr>
            <w:r>
              <w:rPr>
                <w:rFonts w:hint="eastAsia" w:ascii="仿宋_GB2312" w:eastAsia="仿宋_GB2312"/>
                <w:b/>
                <w:sz w:val="24"/>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jc w:val="center"/>
              <w:rPr>
                <w:rFonts w:ascii="仿宋_GB2312" w:eastAsia="仿宋_GB2312"/>
                <w:b/>
                <w:sz w:val="24"/>
              </w:rPr>
            </w:pPr>
            <w:r>
              <w:rPr>
                <w:rFonts w:hint="eastAsia" w:ascii="仿宋_GB2312" w:eastAsia="仿宋_GB2312"/>
                <w:b/>
                <w:sz w:val="24"/>
              </w:rPr>
              <w:t>一、人员经费</w:t>
            </w:r>
          </w:p>
        </w:tc>
        <w:tc>
          <w:tcPr>
            <w:tcW w:w="6930" w:type="dxa"/>
            <w:tcBorders>
              <w:right w:val="nil"/>
            </w:tcBorders>
          </w:tcPr>
          <w:p>
            <w:pPr>
              <w:jc w:val="center"/>
              <w:rPr>
                <w:rFonts w:ascii="仿宋_GB2312"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jc w:val="left"/>
              <w:rPr>
                <w:rFonts w:ascii="仿宋_GB2312" w:eastAsia="仿宋_GB2312"/>
                <w:b/>
                <w:sz w:val="24"/>
              </w:rPr>
            </w:pPr>
            <w:r>
              <w:rPr>
                <w:rFonts w:hint="eastAsia" w:ascii="仿宋_GB2312" w:eastAsia="仿宋_GB2312"/>
                <w:sz w:val="24"/>
              </w:rPr>
              <w:t>★基本工资</w:t>
            </w:r>
          </w:p>
        </w:tc>
        <w:tc>
          <w:tcPr>
            <w:tcW w:w="6930" w:type="dxa"/>
            <w:tcBorders>
              <w:right w:val="nil"/>
            </w:tcBorders>
          </w:tcPr>
          <w:p>
            <w:pPr>
              <w:rPr>
                <w:rFonts w:ascii="仿宋_GB2312" w:eastAsia="仿宋_GB2312"/>
                <w:b/>
                <w:sz w:val="24"/>
              </w:rPr>
            </w:pPr>
            <w:r>
              <w:rPr>
                <w:rFonts w:hint="eastAsia" w:ascii="仿宋_GB2312" w:eastAsia="仿宋_GB2312"/>
                <w:sz w:val="24"/>
              </w:rPr>
              <w:t>反映按规定发放的基本工资，包括事业单位工作人员的岗位工资、薪级工资；各类学校毕业生试用期(见习期)工资等。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★津贴补贴</w:t>
            </w:r>
          </w:p>
        </w:tc>
        <w:tc>
          <w:tcPr>
            <w:tcW w:w="6930" w:type="dxa"/>
            <w:tcBorders>
              <w:right w:val="nil"/>
            </w:tcBorders>
          </w:tcPr>
          <w:p>
            <w:pPr>
              <w:rPr>
                <w:rFonts w:ascii="仿宋_GB2312" w:eastAsia="仿宋_GB2312"/>
                <w:sz w:val="24"/>
              </w:rPr>
            </w:pPr>
            <w:r>
              <w:rPr>
                <w:rFonts w:hint="eastAsia" w:ascii="仿宋_GB2312" w:eastAsia="仿宋_GB2312"/>
                <w:sz w:val="24"/>
              </w:rPr>
              <w:t>反映按规定发放的津贴、补贴，包括机关事业单位艰苦边远地区津贴、事业单位工作人员特殊岗位津贴补贴，以及</w:t>
            </w:r>
            <w:r>
              <w:rPr>
                <w:rFonts w:hint="eastAsia" w:ascii="仿宋_GB2312" w:eastAsia="仿宋_GB2312"/>
                <w:b/>
                <w:sz w:val="24"/>
              </w:rPr>
              <w:t>提租补贴、购房补贴、采暖补贴、物业服务补贴</w:t>
            </w:r>
            <w:r>
              <w:rPr>
                <w:rFonts w:hint="eastAsia" w:ascii="仿宋_GB2312" w:eastAsia="仿宋_GB2312"/>
                <w:sz w:val="24"/>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★奖金</w:t>
            </w:r>
          </w:p>
        </w:tc>
        <w:tc>
          <w:tcPr>
            <w:tcW w:w="6930" w:type="dxa"/>
            <w:tcBorders>
              <w:right w:val="nil"/>
            </w:tcBorders>
          </w:tcPr>
          <w:p>
            <w:pPr>
              <w:rPr>
                <w:rFonts w:ascii="仿宋_GB2312" w:eastAsia="仿宋_GB2312"/>
                <w:sz w:val="24"/>
              </w:rPr>
            </w:pPr>
            <w:r>
              <w:rPr>
                <w:rFonts w:hint="eastAsia" w:ascii="仿宋_GB2312" w:eastAsia="仿宋_GB2312"/>
                <w:sz w:val="24"/>
              </w:rPr>
              <w:t>反映按规定发放的奖金等。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★伙食补助费</w:t>
            </w:r>
          </w:p>
        </w:tc>
        <w:tc>
          <w:tcPr>
            <w:tcW w:w="6930" w:type="dxa"/>
            <w:tcBorders>
              <w:right w:val="nil"/>
            </w:tcBorders>
          </w:tcPr>
          <w:p>
            <w:pPr>
              <w:rPr>
                <w:rFonts w:ascii="仿宋_GB2312" w:eastAsia="仿宋_GB2312"/>
                <w:sz w:val="24"/>
              </w:rPr>
            </w:pPr>
            <w:r>
              <w:rPr>
                <w:rFonts w:hint="eastAsia" w:ascii="仿宋_GB2312" w:eastAsia="仿宋_GB2312"/>
                <w:sz w:val="24"/>
              </w:rPr>
              <w:t>反映单位发给职工的伙食补助费，因公负伤等住院治疗、住疗养院期间的伙食补助费等。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★绩效工资</w:t>
            </w:r>
          </w:p>
        </w:tc>
        <w:tc>
          <w:tcPr>
            <w:tcW w:w="6930" w:type="dxa"/>
            <w:tcBorders>
              <w:right w:val="nil"/>
            </w:tcBorders>
          </w:tcPr>
          <w:p>
            <w:pPr>
              <w:rPr>
                <w:rFonts w:ascii="仿宋_GB2312" w:eastAsia="仿宋_GB2312"/>
                <w:sz w:val="24"/>
              </w:rPr>
            </w:pPr>
            <w:r>
              <w:rPr>
                <w:rFonts w:hint="eastAsia" w:ascii="仿宋_GB2312" w:eastAsia="仿宋_GB2312"/>
                <w:sz w:val="24"/>
              </w:rPr>
              <w:t>反映事业单位工作人员的绩效工资。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★机关事业单位基本养老保险缴费</w:t>
            </w:r>
          </w:p>
        </w:tc>
        <w:tc>
          <w:tcPr>
            <w:tcW w:w="6930" w:type="dxa"/>
            <w:tcBorders>
              <w:right w:val="nil"/>
            </w:tcBorders>
          </w:tcPr>
          <w:p>
            <w:pPr>
              <w:rPr>
                <w:rFonts w:ascii="仿宋_GB2312" w:eastAsia="仿宋_GB2312"/>
                <w:sz w:val="24"/>
              </w:rPr>
            </w:pPr>
            <w:r>
              <w:rPr>
                <w:rFonts w:hint="eastAsia" w:ascii="仿宋_GB2312" w:eastAsia="仿宋_GB2312"/>
                <w:sz w:val="24"/>
              </w:rPr>
              <w:t>反映单位为职工缴纳的基本养老保险费。由单位代扣的工作人员基本养老保险缴费，不在此科目反映。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★职业年金缴费</w:t>
            </w:r>
          </w:p>
        </w:tc>
        <w:tc>
          <w:tcPr>
            <w:tcW w:w="6930" w:type="dxa"/>
            <w:tcBorders>
              <w:right w:val="nil"/>
            </w:tcBorders>
          </w:tcPr>
          <w:p>
            <w:pPr>
              <w:rPr>
                <w:rFonts w:ascii="仿宋_GB2312" w:eastAsia="仿宋_GB2312"/>
                <w:sz w:val="24"/>
              </w:rPr>
            </w:pPr>
            <w:r>
              <w:rPr>
                <w:rFonts w:hint="eastAsia" w:ascii="仿宋_GB2312" w:eastAsia="仿宋_GB2312"/>
                <w:sz w:val="24"/>
              </w:rPr>
              <w:t>反映单位为职工实际缴纳的职业年金（含职业年金补记支出）。由单位代扣的工作人员职业年金缴费，不在此科目反映。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★职工基本医疗保险缴费</w:t>
            </w:r>
          </w:p>
        </w:tc>
        <w:tc>
          <w:tcPr>
            <w:tcW w:w="6930" w:type="dxa"/>
            <w:tcBorders>
              <w:right w:val="nil"/>
            </w:tcBorders>
          </w:tcPr>
          <w:p>
            <w:pPr>
              <w:rPr>
                <w:rFonts w:ascii="仿宋_GB2312" w:eastAsia="仿宋_GB2312"/>
                <w:sz w:val="24"/>
              </w:rPr>
            </w:pPr>
            <w:r>
              <w:rPr>
                <w:rFonts w:hint="eastAsia" w:ascii="仿宋_GB2312" w:eastAsia="仿宋_GB2312"/>
                <w:sz w:val="24"/>
              </w:rPr>
              <w:t>反映单位为职工缴纳的基本医疗保险（含生育保险）费。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★其他社会保障缴费</w:t>
            </w:r>
          </w:p>
        </w:tc>
        <w:tc>
          <w:tcPr>
            <w:tcW w:w="6930" w:type="dxa"/>
            <w:tcBorders>
              <w:right w:val="nil"/>
            </w:tcBorders>
          </w:tcPr>
          <w:p>
            <w:pPr>
              <w:rPr>
                <w:rFonts w:ascii="仿宋_GB2312" w:eastAsia="仿宋_GB2312"/>
                <w:sz w:val="24"/>
              </w:rPr>
            </w:pPr>
            <w:r>
              <w:rPr>
                <w:rFonts w:hint="eastAsia" w:ascii="仿宋_GB2312" w:eastAsia="仿宋_GB2312"/>
                <w:sz w:val="24"/>
              </w:rPr>
              <w:t>反映单位为职工缴纳的失业、工伤等社会保险费。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★住房公积金</w:t>
            </w:r>
          </w:p>
        </w:tc>
        <w:tc>
          <w:tcPr>
            <w:tcW w:w="6930" w:type="dxa"/>
            <w:tcBorders>
              <w:right w:val="nil"/>
            </w:tcBorders>
          </w:tcPr>
          <w:p>
            <w:pPr>
              <w:rPr>
                <w:rFonts w:ascii="仿宋_GB2312" w:eastAsia="仿宋_GB2312"/>
                <w:sz w:val="24"/>
              </w:rPr>
            </w:pPr>
            <w:r>
              <w:rPr>
                <w:rFonts w:hint="eastAsia" w:ascii="仿宋_GB2312" w:eastAsia="仿宋_GB2312"/>
                <w:sz w:val="24"/>
              </w:rPr>
              <w:t>反映单位按规定为职工缴纳的住房公积金。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★医疗费</w:t>
            </w:r>
          </w:p>
        </w:tc>
        <w:tc>
          <w:tcPr>
            <w:tcW w:w="6930" w:type="dxa"/>
            <w:tcBorders>
              <w:right w:val="nil"/>
            </w:tcBorders>
          </w:tcPr>
          <w:p>
            <w:pPr>
              <w:rPr>
                <w:rFonts w:ascii="仿宋_GB2312" w:eastAsia="仿宋_GB2312"/>
                <w:sz w:val="24"/>
              </w:rPr>
            </w:pPr>
            <w:r>
              <w:rPr>
                <w:rFonts w:hint="eastAsia" w:ascii="仿宋_GB2312" w:eastAsia="仿宋_GB2312"/>
                <w:sz w:val="24"/>
              </w:rPr>
              <w:t>反映未参加医疗保险单位的医疗经费和单位按规定为职工支出的其他医疗费用。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★其他工资福利支出</w:t>
            </w:r>
          </w:p>
        </w:tc>
        <w:tc>
          <w:tcPr>
            <w:tcW w:w="6930" w:type="dxa"/>
            <w:tcBorders>
              <w:right w:val="nil"/>
            </w:tcBorders>
          </w:tcPr>
          <w:p>
            <w:pPr>
              <w:rPr>
                <w:rFonts w:ascii="仿宋_GB2312" w:eastAsia="仿宋_GB2312"/>
                <w:sz w:val="24"/>
              </w:rPr>
            </w:pPr>
            <w:r>
              <w:rPr>
                <w:rFonts w:hint="eastAsia" w:ascii="仿宋_GB2312" w:eastAsia="仿宋_GB2312"/>
                <w:sz w:val="24"/>
              </w:rPr>
              <w:t>反映上述科目未包含的工资福利支出，如各种加班工资、病假两个月以上期间的人员工资、职工探亲旅费、困难职工生活补助，编制外长期聘用人员</w:t>
            </w:r>
            <w:r>
              <w:rPr>
                <w:rFonts w:hint="eastAsia" w:ascii="仿宋_GB2312" w:eastAsia="仿宋_GB2312"/>
                <w:b/>
                <w:sz w:val="24"/>
              </w:rPr>
              <w:t>（不包括劳务派遣人员）</w:t>
            </w:r>
            <w:r>
              <w:rPr>
                <w:rFonts w:hint="eastAsia" w:ascii="仿宋_GB2312" w:eastAsia="仿宋_GB2312"/>
                <w:sz w:val="24"/>
              </w:rPr>
              <w:t>劳务报酬及社保缴费。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★离休费</w:t>
            </w:r>
          </w:p>
        </w:tc>
        <w:tc>
          <w:tcPr>
            <w:tcW w:w="6930" w:type="dxa"/>
            <w:tcBorders>
              <w:right w:val="nil"/>
            </w:tcBorders>
          </w:tcPr>
          <w:p>
            <w:pPr>
              <w:rPr>
                <w:rFonts w:ascii="仿宋_GB2312" w:eastAsia="仿宋_GB2312"/>
                <w:sz w:val="24"/>
              </w:rPr>
            </w:pPr>
            <w:r>
              <w:rPr>
                <w:rFonts w:hint="eastAsia" w:ascii="仿宋_GB2312" w:eastAsia="仿宋_GB2312"/>
                <w:sz w:val="24"/>
              </w:rPr>
              <w:t>反映机关事业单位离休人员的离休费、护理费</w:t>
            </w:r>
            <w:r>
              <w:rPr>
                <w:rFonts w:hint="eastAsia" w:ascii="仿宋_GB2312" w:eastAsia="仿宋_GB2312"/>
                <w:b/>
                <w:sz w:val="24"/>
              </w:rPr>
              <w:t>以及提租补贴、购房补贴、采暖补贴、物业服务补贴</w:t>
            </w:r>
            <w:r>
              <w:rPr>
                <w:rFonts w:hint="eastAsia" w:ascii="仿宋_GB2312" w:eastAsia="仿宋_GB2312"/>
                <w:sz w:val="24"/>
              </w:rPr>
              <w:t>等补贴。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★退休费</w:t>
            </w:r>
          </w:p>
        </w:tc>
        <w:tc>
          <w:tcPr>
            <w:tcW w:w="6930" w:type="dxa"/>
            <w:tcBorders>
              <w:right w:val="nil"/>
            </w:tcBorders>
          </w:tcPr>
          <w:p>
            <w:pPr>
              <w:rPr>
                <w:rFonts w:ascii="仿宋_GB2312" w:eastAsia="仿宋_GB2312"/>
                <w:sz w:val="24"/>
              </w:rPr>
            </w:pPr>
            <w:r>
              <w:rPr>
                <w:rFonts w:hint="eastAsia" w:ascii="仿宋_GB2312" w:eastAsia="仿宋_GB2312"/>
                <w:sz w:val="24"/>
              </w:rPr>
              <w:t>反映机关事业单位的退休人员的退休费</w:t>
            </w:r>
            <w:r>
              <w:rPr>
                <w:rFonts w:hint="eastAsia" w:ascii="仿宋_GB2312" w:eastAsia="仿宋_GB2312"/>
                <w:b/>
                <w:sz w:val="24"/>
              </w:rPr>
              <w:t>以及提租补贴、购房补贴、采暖补贴、物业服务补贴</w:t>
            </w:r>
            <w:r>
              <w:rPr>
                <w:rFonts w:hint="eastAsia" w:ascii="仿宋_GB2312" w:eastAsia="仿宋_GB2312"/>
                <w:sz w:val="24"/>
              </w:rPr>
              <w:t>等补贴。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★抚恤金</w:t>
            </w:r>
          </w:p>
        </w:tc>
        <w:tc>
          <w:tcPr>
            <w:tcW w:w="6930" w:type="dxa"/>
            <w:tcBorders>
              <w:right w:val="nil"/>
            </w:tcBorders>
          </w:tcPr>
          <w:p>
            <w:pPr>
              <w:rPr>
                <w:rFonts w:ascii="仿宋_GB2312" w:eastAsia="仿宋_GB2312"/>
                <w:sz w:val="24"/>
              </w:rPr>
            </w:pPr>
            <w:r>
              <w:rPr>
                <w:rFonts w:hint="eastAsia" w:ascii="仿宋_GB2312" w:eastAsia="仿宋_GB2312"/>
                <w:sz w:val="24"/>
              </w:rPr>
              <w:t>反映按规定开支的烈士遗属、牺牲病故人员遗属的一次性和定期抚恤金</w:t>
            </w:r>
            <w:r>
              <w:rPr>
                <w:rFonts w:hint="eastAsia" w:ascii="仿宋_GB2312" w:eastAsia="仿宋_GB2312"/>
                <w:sz w:val="24"/>
                <w:lang w:eastAsia="zh-CN"/>
              </w:rPr>
              <w:t>，</w:t>
            </w:r>
            <w:r>
              <w:rPr>
                <w:rFonts w:hint="eastAsia" w:ascii="仿宋_GB2312" w:eastAsia="仿宋_GB2312"/>
                <w:sz w:val="24"/>
                <w:lang w:val="en-US" w:eastAsia="zh-CN"/>
              </w:rPr>
              <w:t>烈士褒扬金，牺牲病故和</w:t>
            </w:r>
            <w:r>
              <w:rPr>
                <w:rFonts w:hint="eastAsia" w:ascii="仿宋_GB2312" w:eastAsia="仿宋_GB2312"/>
                <w:sz w:val="24"/>
              </w:rPr>
              <w:t>伤残人员的抚恤金，以及按规定开支的机关事业单位职工和离退休人员丧葬费和抚恤金。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★生活补助</w:t>
            </w:r>
          </w:p>
        </w:tc>
        <w:tc>
          <w:tcPr>
            <w:tcW w:w="6930" w:type="dxa"/>
            <w:tcBorders>
              <w:right w:val="nil"/>
            </w:tcBorders>
          </w:tcPr>
          <w:p>
            <w:pPr>
              <w:rPr>
                <w:rFonts w:ascii="仿宋_GB2312" w:eastAsia="仿宋_GB2312"/>
                <w:sz w:val="24"/>
              </w:rPr>
            </w:pPr>
            <w:r>
              <w:rPr>
                <w:rFonts w:hint="eastAsia" w:ascii="仿宋_GB2312" w:eastAsia="仿宋_GB2312"/>
                <w:sz w:val="24"/>
              </w:rPr>
              <w:t>反映按规定开支的优抚对象定期定量生活补助费，退役军人生活补助费，机关事业单位职工遗属生活补助，长期赡养人员补助费等。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★医疗费补助</w:t>
            </w:r>
          </w:p>
        </w:tc>
        <w:tc>
          <w:tcPr>
            <w:tcW w:w="6930" w:type="dxa"/>
            <w:tcBorders>
              <w:right w:val="nil"/>
            </w:tcBorders>
          </w:tcPr>
          <w:p>
            <w:pPr>
              <w:rPr>
                <w:rFonts w:ascii="仿宋_GB2312" w:eastAsia="仿宋_GB2312"/>
                <w:sz w:val="24"/>
              </w:rPr>
            </w:pPr>
            <w:r>
              <w:rPr>
                <w:rFonts w:hint="eastAsia" w:ascii="仿宋_GB2312" w:eastAsia="仿宋_GB2312"/>
                <w:sz w:val="24"/>
              </w:rPr>
              <w:t>反映机关事业单位离退休人员的医疗费，学生医疗费，优抚对象医疗补助等医疗救助支出。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★助学金</w:t>
            </w:r>
          </w:p>
        </w:tc>
        <w:tc>
          <w:tcPr>
            <w:tcW w:w="6930" w:type="dxa"/>
            <w:tcBorders>
              <w:right w:val="nil"/>
            </w:tcBorders>
          </w:tcPr>
          <w:p>
            <w:pPr>
              <w:rPr>
                <w:rFonts w:ascii="仿宋_GB2312" w:eastAsia="仿宋_GB2312"/>
                <w:sz w:val="24"/>
              </w:rPr>
            </w:pPr>
            <w:r>
              <w:rPr>
                <w:rFonts w:hint="eastAsia" w:ascii="仿宋_GB2312" w:eastAsia="仿宋_GB2312"/>
                <w:sz w:val="24"/>
              </w:rPr>
              <w:t>反映学校学生助学金、奖学金、学生贷款、出国留学（实习）人员的生活费，按照协议由我方负担或享受我方奖学金的来华留学生、进修生生活费等。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★奖励金</w:t>
            </w:r>
          </w:p>
        </w:tc>
        <w:tc>
          <w:tcPr>
            <w:tcW w:w="6930" w:type="dxa"/>
            <w:tcBorders>
              <w:right w:val="nil"/>
            </w:tcBorders>
          </w:tcPr>
          <w:p>
            <w:pPr>
              <w:rPr>
                <w:rFonts w:ascii="仿宋_GB2312" w:eastAsia="仿宋_GB2312"/>
                <w:sz w:val="24"/>
              </w:rPr>
            </w:pPr>
            <w:r>
              <w:rPr>
                <w:rFonts w:hint="eastAsia" w:ascii="仿宋_GB2312" w:eastAsia="仿宋_GB2312"/>
                <w:sz w:val="24"/>
              </w:rPr>
              <w:t>反映计划生育目标责任奖励、独生子女父母奖励等。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★其他对个人家庭补贴</w:t>
            </w:r>
          </w:p>
        </w:tc>
        <w:tc>
          <w:tcPr>
            <w:tcW w:w="6930" w:type="dxa"/>
            <w:tcBorders>
              <w:right w:val="nil"/>
            </w:tcBorders>
          </w:tcPr>
          <w:p>
            <w:pPr>
              <w:rPr>
                <w:rFonts w:ascii="仿宋_GB2312" w:eastAsia="仿宋_GB2312"/>
                <w:sz w:val="24"/>
              </w:rPr>
            </w:pPr>
            <w:r>
              <w:rPr>
                <w:rFonts w:hint="eastAsia" w:ascii="仿宋_GB2312" w:eastAsia="仿宋_GB2312"/>
                <w:sz w:val="24"/>
              </w:rPr>
              <w:t>反映未包括在上述科目的对个人和家庭的补助支出，如婴幼儿补贴、退职人员及随行家属路费、保障性住房租金补贴等。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ind w:firstLine="241" w:firstLineChars="100"/>
              <w:rPr>
                <w:rFonts w:ascii="仿宋_GB2312" w:eastAsia="仿宋_GB2312"/>
                <w:sz w:val="24"/>
              </w:rPr>
            </w:pPr>
            <w:r>
              <w:rPr>
                <w:rFonts w:hint="eastAsia" w:ascii="仿宋_GB2312" w:eastAsia="仿宋_GB2312"/>
                <w:b/>
                <w:sz w:val="24"/>
              </w:rPr>
              <w:t>二、公用经费</w:t>
            </w:r>
          </w:p>
        </w:tc>
        <w:tc>
          <w:tcPr>
            <w:tcW w:w="6930" w:type="dxa"/>
            <w:tcBorders>
              <w:right w:val="nil"/>
            </w:tcBorders>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★办公费</w:t>
            </w:r>
          </w:p>
        </w:tc>
        <w:tc>
          <w:tcPr>
            <w:tcW w:w="6930" w:type="dxa"/>
            <w:tcBorders>
              <w:right w:val="nil"/>
            </w:tcBorders>
          </w:tcPr>
          <w:p>
            <w:pPr>
              <w:rPr>
                <w:rFonts w:ascii="仿宋_GB2312" w:eastAsia="仿宋_GB2312"/>
                <w:sz w:val="24"/>
              </w:rPr>
            </w:pPr>
            <w:r>
              <w:rPr>
                <w:rFonts w:hint="eastAsia" w:ascii="仿宋_GB2312" w:eastAsia="仿宋_GB2312"/>
                <w:sz w:val="24"/>
              </w:rPr>
              <w:t>反映单位购买日常办公用品、书报杂志等支出。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★印刷费</w:t>
            </w:r>
          </w:p>
        </w:tc>
        <w:tc>
          <w:tcPr>
            <w:tcW w:w="6930" w:type="dxa"/>
            <w:tcBorders>
              <w:right w:val="nil"/>
            </w:tcBorders>
          </w:tcPr>
          <w:p>
            <w:pPr>
              <w:rPr>
                <w:rFonts w:ascii="仿宋_GB2312" w:eastAsia="仿宋_GB2312"/>
                <w:sz w:val="24"/>
              </w:rPr>
            </w:pPr>
            <w:r>
              <w:rPr>
                <w:rFonts w:hint="eastAsia" w:ascii="仿宋_GB2312" w:eastAsia="仿宋_GB2312"/>
                <w:sz w:val="24"/>
              </w:rPr>
              <w:t>反映单位的印刷费支出。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★手续费</w:t>
            </w:r>
          </w:p>
        </w:tc>
        <w:tc>
          <w:tcPr>
            <w:tcW w:w="6930" w:type="dxa"/>
            <w:tcBorders>
              <w:right w:val="nil"/>
            </w:tcBorders>
          </w:tcPr>
          <w:p>
            <w:pPr>
              <w:rPr>
                <w:rFonts w:ascii="仿宋_GB2312" w:eastAsia="仿宋_GB2312"/>
                <w:sz w:val="24"/>
              </w:rPr>
            </w:pPr>
            <w:r>
              <w:rPr>
                <w:rFonts w:hint="eastAsia" w:ascii="仿宋_GB2312" w:eastAsia="仿宋_GB2312"/>
                <w:sz w:val="24"/>
              </w:rPr>
              <w:t>反映单位的各类手续费支出。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★水费</w:t>
            </w:r>
          </w:p>
        </w:tc>
        <w:tc>
          <w:tcPr>
            <w:tcW w:w="6930" w:type="dxa"/>
            <w:tcBorders>
              <w:right w:val="nil"/>
            </w:tcBorders>
          </w:tcPr>
          <w:p>
            <w:pPr>
              <w:rPr>
                <w:rFonts w:ascii="仿宋_GB2312" w:eastAsia="仿宋_GB2312"/>
                <w:sz w:val="24"/>
              </w:rPr>
            </w:pPr>
            <w:r>
              <w:rPr>
                <w:rFonts w:hint="eastAsia" w:ascii="仿宋_GB2312" w:eastAsia="仿宋_GB2312"/>
                <w:sz w:val="24"/>
              </w:rPr>
              <w:t>反映单位</w:t>
            </w:r>
            <w:r>
              <w:rPr>
                <w:rFonts w:hint="eastAsia" w:ascii="仿宋_GB2312" w:eastAsia="仿宋_GB2312"/>
                <w:color w:val="000000" w:themeColor="text1"/>
                <w:sz w:val="24"/>
                <w14:textFill>
                  <w14:solidFill>
                    <w14:schemeClr w14:val="tx1"/>
                  </w14:solidFill>
                </w14:textFill>
              </w:rPr>
              <w:t>的水费、污水处理费等</w:t>
            </w:r>
            <w:r>
              <w:rPr>
                <w:rFonts w:hint="eastAsia" w:ascii="仿宋_GB2312" w:eastAsia="仿宋_GB2312"/>
                <w:sz w:val="24"/>
              </w:rPr>
              <w:t>支出。</w:t>
            </w:r>
            <w:r>
              <w:rPr>
                <w:rFonts w:hint="eastAsia" w:ascii="仿宋_GB2312" w:eastAsia="仿宋_GB2312"/>
                <w:b/>
                <w:color w:val="000000" w:themeColor="text1"/>
                <w:sz w:val="24"/>
                <w14:textFill>
                  <w14:solidFill>
                    <w14:schemeClr w14:val="tx1"/>
                  </w14:solidFill>
                </w14:textFill>
              </w:rPr>
              <w:t>（日常饮用水预算不统计在内）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★电费</w:t>
            </w:r>
          </w:p>
        </w:tc>
        <w:tc>
          <w:tcPr>
            <w:tcW w:w="6930" w:type="dxa"/>
            <w:tcBorders>
              <w:right w:val="nil"/>
            </w:tcBorders>
          </w:tcPr>
          <w:p>
            <w:pPr>
              <w:rPr>
                <w:rFonts w:ascii="仿宋_GB2312" w:eastAsia="仿宋_GB2312"/>
                <w:sz w:val="24"/>
              </w:rPr>
            </w:pPr>
            <w:r>
              <w:rPr>
                <w:rFonts w:hint="eastAsia" w:ascii="仿宋_GB2312" w:eastAsia="仿宋_GB2312"/>
                <w:sz w:val="24"/>
              </w:rPr>
              <w:t>反映单位的电费支出。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★邮电费</w:t>
            </w:r>
          </w:p>
        </w:tc>
        <w:tc>
          <w:tcPr>
            <w:tcW w:w="6930" w:type="dxa"/>
            <w:tcBorders>
              <w:right w:val="nil"/>
            </w:tcBorders>
          </w:tcPr>
          <w:p>
            <w:pPr>
              <w:rPr>
                <w:rFonts w:ascii="仿宋_GB2312" w:eastAsia="仿宋_GB2312"/>
                <w:sz w:val="24"/>
              </w:rPr>
            </w:pPr>
            <w:r>
              <w:rPr>
                <w:rFonts w:hint="eastAsia" w:ascii="仿宋_GB2312" w:eastAsia="仿宋_GB2312"/>
                <w:sz w:val="24"/>
              </w:rPr>
              <w:t>反映单位开支的信函、包裹、货物等物品的邮寄费及电话费、电报费、传真费、网络通讯费等。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★取暖费</w:t>
            </w:r>
          </w:p>
        </w:tc>
        <w:tc>
          <w:tcPr>
            <w:tcW w:w="6930" w:type="dxa"/>
            <w:tcBorders>
              <w:right w:val="nil"/>
            </w:tcBorders>
          </w:tcPr>
          <w:p>
            <w:pPr>
              <w:rPr>
                <w:rFonts w:ascii="仿宋_GB2312" w:eastAsia="仿宋_GB2312"/>
                <w:sz w:val="24"/>
              </w:rPr>
            </w:pPr>
            <w:r>
              <w:rPr>
                <w:rFonts w:hint="eastAsia" w:ascii="仿宋_GB2312" w:eastAsia="仿宋_GB2312"/>
                <w:sz w:val="24"/>
              </w:rPr>
              <w:t>反映单位取暖用燃料费、热力费、炉具购置费、锅炉临时工的工资、节煤奖以及由单位支付的未实行职工住房采暖补贴改革的在职职工和离退休人员宿舍取暖费。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★物业管理费</w:t>
            </w:r>
          </w:p>
        </w:tc>
        <w:tc>
          <w:tcPr>
            <w:tcW w:w="6930" w:type="dxa"/>
            <w:tcBorders>
              <w:right w:val="nil"/>
            </w:tcBorders>
          </w:tcPr>
          <w:p>
            <w:pPr>
              <w:rPr>
                <w:rFonts w:ascii="仿宋_GB2312" w:eastAsia="仿宋_GB2312"/>
                <w:sz w:val="24"/>
              </w:rPr>
            </w:pPr>
            <w:r>
              <w:rPr>
                <w:rFonts w:hint="eastAsia" w:ascii="仿宋_GB2312" w:eastAsia="仿宋_GB2312"/>
                <w:sz w:val="24"/>
              </w:rPr>
              <w:t>反映单位开支的办公用房以及未实行职工住宅物业服务改革的在职职工和离退休人员宿舍等的物业管理费，包括综合治理、绿化、卫生等方面的支出。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★差旅费</w:t>
            </w:r>
          </w:p>
        </w:tc>
        <w:tc>
          <w:tcPr>
            <w:tcW w:w="6930" w:type="dxa"/>
            <w:tcBorders>
              <w:right w:val="nil"/>
            </w:tcBorders>
          </w:tcPr>
          <w:p>
            <w:pPr>
              <w:rPr>
                <w:rFonts w:ascii="仿宋_GB2312" w:eastAsia="仿宋_GB2312"/>
                <w:sz w:val="24"/>
              </w:rPr>
            </w:pPr>
            <w:r>
              <w:rPr>
                <w:rFonts w:hint="eastAsia" w:ascii="仿宋_GB2312" w:eastAsia="仿宋_GB2312"/>
                <w:sz w:val="24"/>
              </w:rPr>
              <w:t>反映单位工作人员国（境）内出差发生的城市间交通费、住宿费、伙食补助费和市内交通费。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★因公出国(境)费</w:t>
            </w:r>
          </w:p>
        </w:tc>
        <w:tc>
          <w:tcPr>
            <w:tcW w:w="6930" w:type="dxa"/>
            <w:tcBorders>
              <w:right w:val="nil"/>
            </w:tcBorders>
          </w:tcPr>
          <w:p>
            <w:pPr>
              <w:rPr>
                <w:rFonts w:ascii="仿宋_GB2312" w:eastAsia="仿宋_GB2312"/>
                <w:sz w:val="24"/>
              </w:rPr>
            </w:pPr>
            <w:r>
              <w:rPr>
                <w:rFonts w:hint="eastAsia" w:ascii="仿宋_GB2312" w:eastAsia="仿宋_GB2312"/>
                <w:sz w:val="24"/>
              </w:rPr>
              <w:t>反映单位</w:t>
            </w:r>
            <w:r>
              <w:rPr>
                <w:rFonts w:hint="eastAsia" w:ascii="仿宋_GB2312" w:eastAsia="仿宋_GB2312"/>
                <w:color w:val="000000" w:themeColor="text1"/>
                <w:sz w:val="24"/>
                <w14:textFill>
                  <w14:solidFill>
                    <w14:schemeClr w14:val="tx1"/>
                  </w14:solidFill>
                </w14:textFill>
              </w:rPr>
              <w:t>公务出国（境）</w:t>
            </w:r>
            <w:r>
              <w:rPr>
                <w:rFonts w:hint="eastAsia" w:ascii="仿宋_GB2312" w:eastAsia="仿宋_GB2312"/>
                <w:sz w:val="24"/>
              </w:rPr>
              <w:t>的国际旅费、国外城市间交通费、住宿费、伙食费、培训费、公杂费等支出。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★维修（护）费</w:t>
            </w:r>
          </w:p>
        </w:tc>
        <w:tc>
          <w:tcPr>
            <w:tcW w:w="6930" w:type="dxa"/>
            <w:tcBorders>
              <w:right w:val="nil"/>
            </w:tcBorders>
          </w:tcPr>
          <w:p>
            <w:pPr>
              <w:rPr>
                <w:rFonts w:ascii="仿宋_GB2312" w:eastAsia="仿宋_GB2312"/>
                <w:color w:val="FF0000"/>
                <w:sz w:val="24"/>
              </w:rPr>
            </w:pPr>
            <w:r>
              <w:rPr>
                <w:rFonts w:hint="eastAsia" w:ascii="仿宋_GB2312" w:eastAsia="仿宋_GB2312"/>
                <w:sz w:val="24"/>
              </w:rPr>
              <w:t>反映单位日常开支的固定资产</w:t>
            </w:r>
            <w:r>
              <w:rPr>
                <w:rFonts w:hint="eastAsia" w:ascii="仿宋_GB2312" w:eastAsia="仿宋_GB2312"/>
                <w:b/>
                <w:color w:val="000000" w:themeColor="text1"/>
                <w:sz w:val="24"/>
                <w14:textFill>
                  <w14:solidFill>
                    <w14:schemeClr w14:val="tx1"/>
                  </w14:solidFill>
                </w14:textFill>
              </w:rPr>
              <w:t>（不包括车船等交通工具）</w:t>
            </w:r>
            <w:r>
              <w:rPr>
                <w:rFonts w:hint="eastAsia" w:ascii="仿宋_GB2312" w:eastAsia="仿宋_GB2312"/>
                <w:sz w:val="24"/>
              </w:rPr>
              <w:t>修理和维护费用，网络信息系统运行与维护费用。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★租赁费</w:t>
            </w:r>
          </w:p>
        </w:tc>
        <w:tc>
          <w:tcPr>
            <w:tcW w:w="6930" w:type="dxa"/>
            <w:tcBorders>
              <w:right w:val="nil"/>
            </w:tcBorders>
          </w:tcPr>
          <w:p>
            <w:pPr>
              <w:rPr>
                <w:rFonts w:ascii="仿宋_GB2312" w:eastAsia="仿宋_GB2312"/>
                <w:sz w:val="24"/>
              </w:rPr>
            </w:pPr>
            <w:r>
              <w:rPr>
                <w:rFonts w:hint="eastAsia" w:ascii="仿宋_GB2312" w:eastAsia="仿宋_GB2312"/>
                <w:sz w:val="24"/>
              </w:rPr>
              <w:t>反映租赁办公用房、宿舍、专用通讯网以及其他设备等方面的费用。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★会议费</w:t>
            </w:r>
          </w:p>
        </w:tc>
        <w:tc>
          <w:tcPr>
            <w:tcW w:w="6930" w:type="dxa"/>
            <w:tcBorders>
              <w:right w:val="nil"/>
            </w:tcBorders>
          </w:tcPr>
          <w:p>
            <w:pPr>
              <w:rPr>
                <w:rFonts w:ascii="仿宋_GB2312" w:eastAsia="仿宋_GB2312"/>
                <w:sz w:val="24"/>
              </w:rPr>
            </w:pPr>
            <w:r>
              <w:rPr>
                <w:rFonts w:hint="eastAsia" w:ascii="仿宋_GB2312" w:eastAsia="仿宋_GB2312"/>
                <w:sz w:val="24"/>
              </w:rPr>
              <w:t>反映单位在会议期间按规定开支的住宿费、伙食费、会议场地租金、交通费、文件印刷费、医药费、设备租赁费、线路费、电视电话会议通话费、技术服务费、软件应用费、音视频制作费等。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★培训费</w:t>
            </w:r>
          </w:p>
        </w:tc>
        <w:tc>
          <w:tcPr>
            <w:tcW w:w="6930" w:type="dxa"/>
            <w:tcBorders>
              <w:right w:val="nil"/>
            </w:tcBorders>
          </w:tcPr>
          <w:p>
            <w:pPr>
              <w:rPr>
                <w:rFonts w:ascii="仿宋_GB2312" w:eastAsia="仿宋_GB2312"/>
                <w:color w:val="FF0000"/>
                <w:sz w:val="24"/>
              </w:rPr>
            </w:pPr>
            <w:r>
              <w:rPr>
                <w:rFonts w:hint="eastAsia" w:ascii="仿宋_GB2312" w:eastAsia="仿宋_GB2312"/>
                <w:sz w:val="24"/>
              </w:rPr>
              <w:t>反映除因公出国（境）培训费以外的，在培训期间发生的师资费、住宿费、伙食费、培训场地费、培训资料费、交通费等各类培训费用。（</w:t>
            </w:r>
            <w:r>
              <w:rPr>
                <w:rFonts w:hint="eastAsia" w:ascii="仿宋_GB2312" w:eastAsia="仿宋_GB2312"/>
                <w:b/>
                <w:color w:val="000000" w:themeColor="text1"/>
                <w:sz w:val="24"/>
                <w14:textFill>
                  <w14:solidFill>
                    <w14:schemeClr w14:val="tx1"/>
                  </w14:solidFill>
                </w14:textFill>
              </w:rPr>
              <w:t>同时要填报培训费申报明细表</w:t>
            </w:r>
            <w:r>
              <w:rPr>
                <w:rFonts w:hint="eastAsia" w:ascii="仿宋_GB2312"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★公务接待费</w:t>
            </w:r>
          </w:p>
        </w:tc>
        <w:tc>
          <w:tcPr>
            <w:tcW w:w="6930" w:type="dxa"/>
            <w:tcBorders>
              <w:right w:val="nil"/>
            </w:tcBorders>
          </w:tcPr>
          <w:p>
            <w:pPr>
              <w:rPr>
                <w:rFonts w:ascii="仿宋_GB2312" w:eastAsia="仿宋_GB2312"/>
                <w:sz w:val="24"/>
              </w:rPr>
            </w:pPr>
            <w:r>
              <w:rPr>
                <w:rFonts w:hint="eastAsia" w:ascii="仿宋_GB2312" w:eastAsia="仿宋_GB2312"/>
                <w:sz w:val="24"/>
              </w:rPr>
              <w:t>反映单位按规定开支的各类公务接待</w:t>
            </w:r>
            <w:r>
              <w:rPr>
                <w:rFonts w:hint="eastAsia" w:ascii="仿宋_GB2312" w:eastAsia="仿宋_GB2312"/>
                <w:b/>
                <w:color w:val="000000" w:themeColor="text1"/>
                <w:sz w:val="24"/>
                <w14:textFill>
                  <w14:solidFill>
                    <w14:schemeClr w14:val="tx1"/>
                  </w14:solidFill>
                </w14:textFill>
              </w:rPr>
              <w:t>（含外宾接待）</w:t>
            </w:r>
            <w:r>
              <w:rPr>
                <w:rFonts w:hint="eastAsia" w:ascii="仿宋_GB2312" w:eastAsia="仿宋_GB2312"/>
                <w:sz w:val="24"/>
              </w:rPr>
              <w:t>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★专用材料费</w:t>
            </w:r>
          </w:p>
        </w:tc>
        <w:tc>
          <w:tcPr>
            <w:tcW w:w="6930" w:type="dxa"/>
            <w:tcBorders>
              <w:right w:val="nil"/>
            </w:tcBorders>
          </w:tcPr>
          <w:p>
            <w:pPr>
              <w:rPr>
                <w:rFonts w:ascii="仿宋_GB2312" w:eastAsia="仿宋_GB2312"/>
                <w:sz w:val="24"/>
              </w:rPr>
            </w:pPr>
            <w:r>
              <w:rPr>
                <w:rFonts w:hint="eastAsia" w:ascii="仿宋_GB2312" w:eastAsia="仿宋_GB2312"/>
                <w:sz w:val="24"/>
              </w:rPr>
              <w:t>反映单位购买日常专用材料的支出。具体包括药品及医疗耗材，实验室用品，专用服装，消耗性体育用品，艺术部门专用材料和用品等方面的支出。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★劳务费</w:t>
            </w:r>
          </w:p>
        </w:tc>
        <w:tc>
          <w:tcPr>
            <w:tcW w:w="6930" w:type="dxa"/>
            <w:tcBorders>
              <w:right w:val="nil"/>
            </w:tcBorders>
          </w:tcPr>
          <w:p>
            <w:pPr>
              <w:rPr>
                <w:rFonts w:ascii="仿宋_GB2312" w:eastAsia="仿宋_GB2312"/>
                <w:sz w:val="24"/>
              </w:rPr>
            </w:pPr>
            <w:r>
              <w:rPr>
                <w:rFonts w:hint="eastAsia" w:ascii="仿宋_GB2312" w:eastAsia="仿宋_GB2312"/>
                <w:sz w:val="24"/>
              </w:rPr>
              <w:t>反应支付给个人的劳务费用，如临时聘用人员，稿费、翻译费，</w:t>
            </w:r>
            <w:r>
              <w:rPr>
                <w:rFonts w:hint="eastAsia" w:ascii="仿宋_GB2312" w:eastAsia="仿宋_GB2312"/>
                <w:sz w:val="24"/>
                <w:lang w:val="en-US" w:eastAsia="zh-CN"/>
              </w:rPr>
              <w:t>咨询费、</w:t>
            </w:r>
            <w:r>
              <w:rPr>
                <w:rFonts w:hint="eastAsia" w:ascii="仿宋_GB2312" w:eastAsia="仿宋_GB2312"/>
                <w:sz w:val="24"/>
              </w:rPr>
              <w:t>评审费等。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★委托业务费</w:t>
            </w:r>
          </w:p>
        </w:tc>
        <w:tc>
          <w:tcPr>
            <w:tcW w:w="6930" w:type="dxa"/>
            <w:tcBorders>
              <w:right w:val="nil"/>
            </w:tcBorders>
          </w:tcPr>
          <w:p>
            <w:pPr>
              <w:rPr>
                <w:rFonts w:ascii="仿宋_GB2312" w:eastAsia="仿宋_GB2312"/>
                <w:sz w:val="24"/>
              </w:rPr>
            </w:pPr>
            <w:r>
              <w:rPr>
                <w:rFonts w:hint="eastAsia" w:ascii="仿宋_GB2312" w:eastAsia="仿宋_GB2312"/>
                <w:sz w:val="24"/>
              </w:rPr>
              <w:t>反映因委托外单位办理业务而支付的委托业务费。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★公务用车运行维护费</w:t>
            </w:r>
          </w:p>
        </w:tc>
        <w:tc>
          <w:tcPr>
            <w:tcW w:w="6930" w:type="dxa"/>
            <w:tcBorders>
              <w:right w:val="nil"/>
            </w:tcBorders>
          </w:tcPr>
          <w:p>
            <w:pPr>
              <w:rPr>
                <w:rFonts w:ascii="仿宋_GB2312" w:eastAsia="仿宋_GB2312"/>
                <w:sz w:val="24"/>
              </w:rPr>
            </w:pPr>
            <w:r>
              <w:rPr>
                <w:rFonts w:hint="eastAsia" w:ascii="仿宋_GB2312" w:eastAsia="仿宋_GB2312"/>
                <w:sz w:val="24"/>
              </w:rPr>
              <w:t>反映单位按规定保留的公务用车燃料费、</w:t>
            </w:r>
            <w:r>
              <w:rPr>
                <w:rFonts w:hint="eastAsia" w:ascii="仿宋_GB2312" w:eastAsia="仿宋_GB2312"/>
                <w:sz w:val="24"/>
                <w:lang w:val="en-US" w:eastAsia="zh-CN"/>
              </w:rPr>
              <w:t>新能源汽车充电费、</w:t>
            </w:r>
            <w:r>
              <w:rPr>
                <w:rFonts w:hint="eastAsia" w:ascii="仿宋_GB2312" w:eastAsia="仿宋_GB2312"/>
                <w:sz w:val="24"/>
              </w:rPr>
              <w:t>维修费、过桥过路费、保险费、安全奖励费等支出。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★其他交通费用</w:t>
            </w:r>
          </w:p>
        </w:tc>
        <w:tc>
          <w:tcPr>
            <w:tcW w:w="6930" w:type="dxa"/>
            <w:tcBorders>
              <w:right w:val="nil"/>
            </w:tcBorders>
          </w:tcPr>
          <w:p>
            <w:pPr>
              <w:rPr>
                <w:rFonts w:ascii="仿宋_GB2312" w:eastAsia="仿宋_GB2312"/>
                <w:color w:val="FF0000"/>
                <w:sz w:val="24"/>
              </w:rPr>
            </w:pPr>
            <w:r>
              <w:rPr>
                <w:rFonts w:hint="eastAsia" w:ascii="仿宋_GB2312" w:eastAsia="仿宋_GB2312"/>
                <w:sz w:val="24"/>
              </w:rPr>
              <w:t>反映单位</w:t>
            </w:r>
            <w:r>
              <w:rPr>
                <w:rFonts w:hint="eastAsia" w:ascii="仿宋_GB2312" w:eastAsia="仿宋_GB2312"/>
                <w:color w:val="000000" w:themeColor="text1"/>
                <w:sz w:val="24"/>
                <w14:textFill>
                  <w14:solidFill>
                    <w14:schemeClr w14:val="tx1"/>
                  </w14:solidFill>
                </w14:textFill>
              </w:rPr>
              <w:t>除公务用车运行维护费以外的其</w:t>
            </w:r>
            <w:r>
              <w:rPr>
                <w:rFonts w:hint="eastAsia" w:ascii="仿宋_GB2312" w:eastAsia="仿宋_GB2312"/>
                <w:sz w:val="24"/>
              </w:rPr>
              <w:t>他交通费用。如公务交通补贴、租车费用、出租车费用、维修费、保险费等。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★税金及附加费用</w:t>
            </w:r>
          </w:p>
        </w:tc>
        <w:tc>
          <w:tcPr>
            <w:tcW w:w="6930" w:type="dxa"/>
            <w:tcBorders>
              <w:right w:val="nil"/>
            </w:tcBorders>
          </w:tcPr>
          <w:p>
            <w:pPr>
              <w:rPr>
                <w:rFonts w:ascii="仿宋_GB2312" w:eastAsia="仿宋_GB2312"/>
                <w:sz w:val="24"/>
              </w:rPr>
            </w:pPr>
            <w:r>
              <w:rPr>
                <w:rFonts w:hint="eastAsia" w:ascii="仿宋_GB2312" w:eastAsia="仿宋_GB2312"/>
                <w:sz w:val="24"/>
              </w:rPr>
              <w:t>反映单位</w:t>
            </w:r>
            <w:r>
              <w:rPr>
                <w:rFonts w:hint="eastAsia" w:ascii="仿宋_GB2312" w:eastAsia="仿宋_GB2312"/>
                <w:sz w:val="24"/>
                <w:lang w:val="en-US" w:eastAsia="zh-CN"/>
              </w:rPr>
              <w:t>书立合同、</w:t>
            </w:r>
            <w:r>
              <w:rPr>
                <w:rFonts w:hint="eastAsia" w:ascii="仿宋_GB2312" w:eastAsia="仿宋_GB2312"/>
                <w:sz w:val="24"/>
              </w:rPr>
              <w:t>提供劳务或销售产品应负担的税金及附加费用，包括</w:t>
            </w:r>
            <w:r>
              <w:rPr>
                <w:rFonts w:hint="eastAsia" w:ascii="仿宋_GB2312" w:eastAsia="仿宋_GB2312"/>
                <w:sz w:val="24"/>
                <w:lang w:val="en-US" w:eastAsia="zh-CN"/>
              </w:rPr>
              <w:t>印花税、</w:t>
            </w:r>
            <w:r>
              <w:rPr>
                <w:rFonts w:hint="eastAsia" w:ascii="仿宋_GB2312" w:eastAsia="仿宋_GB2312"/>
                <w:sz w:val="24"/>
              </w:rPr>
              <w:t>消费税、城市维护建设税、资源税和教育费附加等。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b/>
                <w:color w:val="000000" w:themeColor="text1"/>
                <w:sz w:val="24"/>
                <w14:textFill>
                  <w14:solidFill>
                    <w14:schemeClr w14:val="tx1"/>
                  </w14:solidFill>
                </w14:textFill>
              </w:rPr>
              <w:t>★</w:t>
            </w:r>
            <w:r>
              <w:rPr>
                <w:rFonts w:hint="eastAsia" w:ascii="仿宋_GB2312" w:eastAsia="仿宋_GB2312"/>
                <w:b w:val="0"/>
                <w:bCs/>
                <w:color w:val="000000" w:themeColor="text1"/>
                <w:sz w:val="24"/>
                <w14:textFill>
                  <w14:solidFill>
                    <w14:schemeClr w14:val="tx1"/>
                  </w14:solidFill>
                </w14:textFill>
              </w:rPr>
              <w:t>其他商品服务支出</w:t>
            </w:r>
          </w:p>
        </w:tc>
        <w:tc>
          <w:tcPr>
            <w:tcW w:w="6930" w:type="dxa"/>
            <w:tcBorders>
              <w:right w:val="nil"/>
            </w:tcBorders>
          </w:tcPr>
          <w:p>
            <w:pPr>
              <w:rPr>
                <w:rFonts w:ascii="仿宋_GB2312" w:eastAsia="仿宋_GB2312"/>
                <w:color w:val="FF0000"/>
                <w:sz w:val="24"/>
              </w:rPr>
            </w:pPr>
            <w:r>
              <w:rPr>
                <w:rFonts w:hint="eastAsia" w:ascii="仿宋_GB2312" w:eastAsia="仿宋_GB2312"/>
                <w:sz w:val="24"/>
              </w:rPr>
              <w:t>反映上述科目未包括的日常公用支出。如诉讼费、国内组织的会员费、广告宣传费以及离休人员特需费等。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b/>
                <w:sz w:val="24"/>
              </w:rPr>
            </w:pPr>
            <w:r>
              <w:rPr>
                <w:rFonts w:hint="eastAsia" w:ascii="仿宋_GB2312" w:eastAsia="仿宋_GB2312"/>
                <w:sz w:val="24"/>
              </w:rPr>
              <w:t>★办公设备购置费</w:t>
            </w:r>
          </w:p>
        </w:tc>
        <w:tc>
          <w:tcPr>
            <w:tcW w:w="6930" w:type="dxa"/>
            <w:tcBorders>
              <w:right w:val="nil"/>
            </w:tcBorders>
          </w:tcPr>
          <w:p>
            <w:pPr>
              <w:rPr>
                <w:rFonts w:ascii="仿宋_GB2312" w:eastAsia="仿宋_GB2312"/>
                <w:sz w:val="24"/>
              </w:rPr>
            </w:pPr>
            <w:r>
              <w:rPr>
                <w:rFonts w:hint="eastAsia" w:ascii="仿宋_GB2312" w:eastAsia="仿宋_GB2312"/>
                <w:sz w:val="24"/>
              </w:rPr>
              <w:t>反映用于购置并按财务会计制度规定纳入固定资产核算范围的办公家具和办公设备的支出。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sz w:val="24"/>
              </w:rPr>
              <w:t>★专用设备购置费</w:t>
            </w:r>
          </w:p>
        </w:tc>
        <w:tc>
          <w:tcPr>
            <w:tcW w:w="6930" w:type="dxa"/>
            <w:tcBorders>
              <w:right w:val="nil"/>
            </w:tcBorders>
          </w:tcPr>
          <w:p>
            <w:pPr>
              <w:rPr>
                <w:rFonts w:ascii="仿宋_GB2312" w:eastAsia="仿宋_GB2312"/>
                <w:sz w:val="24"/>
              </w:rPr>
            </w:pPr>
            <w:r>
              <w:rPr>
                <w:rFonts w:hint="eastAsia" w:ascii="仿宋_GB2312" w:eastAsia="仿宋_GB2312"/>
                <w:sz w:val="24"/>
              </w:rPr>
              <w:t>反映用于购置具有专门用途、并按财务会计制度</w:t>
            </w:r>
            <w:r>
              <w:rPr>
                <w:rFonts w:hint="eastAsia" w:ascii="仿宋_GB2312" w:eastAsia="仿宋_GB2312"/>
                <w:sz w:val="24"/>
                <w:lang w:val="en-US" w:eastAsia="zh-CN"/>
              </w:rPr>
              <w:t>及资产管理规定定</w:t>
            </w:r>
            <w:r>
              <w:rPr>
                <w:rFonts w:hint="eastAsia" w:ascii="仿宋_GB2312" w:eastAsia="仿宋_GB2312"/>
                <w:sz w:val="24"/>
              </w:rPr>
              <w:t>纳入固定资产核算范围的各类专用设备的支出。如</w:t>
            </w:r>
            <w:r>
              <w:rPr>
                <w:rFonts w:hint="eastAsia" w:ascii="仿宋_GB2312" w:eastAsia="仿宋_GB2312"/>
                <w:sz w:val="24"/>
                <w:lang w:val="en-US" w:eastAsia="zh-CN"/>
              </w:rPr>
              <w:t>通信设备、、</w:t>
            </w:r>
            <w:r>
              <w:rPr>
                <w:rFonts w:hint="eastAsia" w:ascii="仿宋_GB2312" w:eastAsia="仿宋_GB2312"/>
                <w:sz w:val="24"/>
              </w:rPr>
              <w:t>发电设备、卫星转发器、气象设备等。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sz w:val="24"/>
              </w:rPr>
            </w:pPr>
            <w:r>
              <w:rPr>
                <w:rFonts w:hint="eastAsia" w:ascii="仿宋_GB2312" w:eastAsia="仿宋_GB2312"/>
                <w:b/>
                <w:color w:val="000000" w:themeColor="text1"/>
                <w:sz w:val="24"/>
                <w14:textFill>
                  <w14:solidFill>
                    <w14:schemeClr w14:val="tx1"/>
                  </w14:solidFill>
                </w14:textFill>
              </w:rPr>
              <w:t>★</w:t>
            </w:r>
            <w:r>
              <w:rPr>
                <w:rFonts w:hint="eastAsia" w:ascii="仿宋_GB2312" w:eastAsia="仿宋_GB2312"/>
                <w:b w:val="0"/>
                <w:bCs/>
                <w:color w:val="000000" w:themeColor="text1"/>
                <w:sz w:val="24"/>
                <w14:textFill>
                  <w14:solidFill>
                    <w14:schemeClr w14:val="tx1"/>
                  </w14:solidFill>
                </w14:textFill>
              </w:rPr>
              <w:t>信息网络及软件购置更新</w:t>
            </w:r>
          </w:p>
        </w:tc>
        <w:tc>
          <w:tcPr>
            <w:tcW w:w="6930" w:type="dxa"/>
            <w:tcBorders>
              <w:right w:val="nil"/>
            </w:tcBorders>
          </w:tcPr>
          <w:p>
            <w:pPr>
              <w:rPr>
                <w:rFonts w:ascii="仿宋_GB2312" w:eastAsia="仿宋_GB2312"/>
                <w:sz w:val="24"/>
              </w:rPr>
            </w:pPr>
            <w:r>
              <w:rPr>
                <w:rFonts w:hint="eastAsia" w:ascii="仿宋_GB2312" w:eastAsia="仿宋_GB2312"/>
                <w:sz w:val="24"/>
              </w:rPr>
              <w:t>反映用于信息网络和软件方面的支出。如服务器购置、软件购置、开发、应用支出等，如果购置的相关硬件、软件等不符合财务会计制度规定的固定资产确认标准的，不在此科目反映。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b/>
                <w:color w:val="000000" w:themeColor="text1"/>
                <w:sz w:val="24"/>
                <w14:textFill>
                  <w14:solidFill>
                    <w14:schemeClr w14:val="tx1"/>
                  </w14:solidFill>
                </w14:textFill>
              </w:rPr>
            </w:pPr>
            <w:r>
              <w:rPr>
                <w:rFonts w:hint="eastAsia" w:ascii="仿宋_GB2312" w:eastAsia="仿宋_GB2312"/>
                <w:b/>
                <w:color w:val="000000" w:themeColor="text1"/>
                <w:sz w:val="24"/>
                <w14:textFill>
                  <w14:solidFill>
                    <w14:schemeClr w14:val="tx1"/>
                  </w14:solidFill>
                </w14:textFill>
              </w:rPr>
              <w:t>★</w:t>
            </w:r>
            <w:r>
              <w:rPr>
                <w:rFonts w:hint="eastAsia" w:ascii="仿宋_GB2312" w:eastAsia="仿宋_GB2312"/>
                <w:b w:val="0"/>
                <w:bCs/>
                <w:color w:val="000000" w:themeColor="text1"/>
                <w:sz w:val="24"/>
                <w14:textFill>
                  <w14:solidFill>
                    <w14:schemeClr w14:val="tx1"/>
                  </w14:solidFill>
                </w14:textFill>
              </w:rPr>
              <w:t>其他资本性支出</w:t>
            </w:r>
          </w:p>
        </w:tc>
        <w:tc>
          <w:tcPr>
            <w:tcW w:w="6930" w:type="dxa"/>
            <w:tcBorders>
              <w:right w:val="nil"/>
            </w:tcBorders>
          </w:tcPr>
          <w:p>
            <w:pPr>
              <w:rPr>
                <w:rFonts w:ascii="仿宋_GB2312" w:eastAsia="仿宋_GB2312"/>
                <w:color w:val="FF0000"/>
                <w:sz w:val="24"/>
              </w:rPr>
            </w:pPr>
            <w:r>
              <w:rPr>
                <w:rFonts w:hint="eastAsia" w:ascii="仿宋_GB2312" w:eastAsia="仿宋_GB2312"/>
                <w:sz w:val="24"/>
              </w:rPr>
              <w:t>反映上述科目中未包括的资</w:t>
            </w:r>
            <w:bookmarkStart w:id="0" w:name="_GoBack"/>
            <w:bookmarkEnd w:id="0"/>
            <w:r>
              <w:rPr>
                <w:rFonts w:hint="eastAsia" w:ascii="仿宋_GB2312" w:eastAsia="仿宋_GB2312"/>
                <w:sz w:val="24"/>
              </w:rPr>
              <w:t>本性支出。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733" w:type="dxa"/>
            <w:tcBorders>
              <w:left w:val="nil"/>
            </w:tcBorders>
          </w:tcPr>
          <w:p>
            <w:pPr>
              <w:rPr>
                <w:rFonts w:ascii="仿宋_GB2312" w:eastAsia="仿宋_GB2312"/>
                <w:b/>
                <w:sz w:val="24"/>
              </w:rPr>
            </w:pPr>
          </w:p>
        </w:tc>
        <w:tc>
          <w:tcPr>
            <w:tcW w:w="6930" w:type="dxa"/>
            <w:tcBorders>
              <w:right w:val="nil"/>
            </w:tcBorders>
          </w:tcPr>
          <w:p>
            <w:pPr>
              <w:rPr>
                <w:rFonts w:ascii="仿宋_GB2312" w:eastAsia="仿宋_GB2312"/>
                <w:color w:val="FF0000"/>
                <w:sz w:val="24"/>
              </w:rPr>
            </w:pPr>
          </w:p>
        </w:tc>
      </w:tr>
    </w:tbl>
    <w:p>
      <w:pPr>
        <w:rPr>
          <w:rFonts w:ascii="仿宋_GB2312" w:eastAsia="仿宋_GB2312"/>
          <w:sz w:val="24"/>
        </w:rPr>
      </w:pPr>
    </w:p>
    <w:sectPr>
      <w:headerReference r:id="rId3" w:type="default"/>
      <w:footerReference r:id="rId4" w:type="default"/>
      <w:footerReference r:id="rId5" w:type="even"/>
      <w:pgSz w:w="11906" w:h="16838"/>
      <w:pgMar w:top="1440" w:right="1644" w:bottom="935"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6040413"/>
    </w:sdtPr>
    <w:sdtContent>
      <w:sdt>
        <w:sdtPr>
          <w:id w:val="-1669238322"/>
        </w:sdtPr>
        <w:sdtContent>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w:t>
            </w:r>
            <w:r>
              <w:rPr>
                <w:b/>
                <w:bCs/>
                <w:sz w:val="24"/>
                <w:szCs w:val="24"/>
              </w:rPr>
              <w:fldChar w:fldCharType="end"/>
            </w:r>
          </w:p>
        </w:sdtContent>
      </w:sdt>
    </w:sdtContent>
  </w:sdt>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8"/>
      </w:rPr>
    </w:pPr>
    <w:r>
      <w:rPr>
        <w:rStyle w:val="8"/>
      </w:rPr>
      <w:fldChar w:fldCharType="begin"/>
    </w:r>
    <w:r>
      <w:rPr>
        <w:rStyle w:val="8"/>
      </w:rPr>
      <w:instrText xml:space="preserve">PAGE  </w:instrTex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rFonts w:hint="eastAsia"/>
      </w:rPr>
      <w:t>附件</w:t>
    </w:r>
    <w:r>
      <w:t>5—</w:t>
    </w:r>
    <w:r>
      <w:rPr>
        <w:rFonts w:hint="eastAsia"/>
      </w:rPr>
      <w:t xml:space="preserve">2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yMWYxMDgzMWE0MWM3ZWNlYzM5MDUyYzc0NDc4YWMifQ=="/>
  </w:docVars>
  <w:rsids>
    <w:rsidRoot w:val="00025157"/>
    <w:rsid w:val="00005E0C"/>
    <w:rsid w:val="000134EF"/>
    <w:rsid w:val="00015B16"/>
    <w:rsid w:val="00025157"/>
    <w:rsid w:val="000441C4"/>
    <w:rsid w:val="00045C52"/>
    <w:rsid w:val="000533CC"/>
    <w:rsid w:val="00054033"/>
    <w:rsid w:val="00055E9C"/>
    <w:rsid w:val="000670B2"/>
    <w:rsid w:val="000800DB"/>
    <w:rsid w:val="00090EC7"/>
    <w:rsid w:val="000978A7"/>
    <w:rsid w:val="000A333A"/>
    <w:rsid w:val="000D57DA"/>
    <w:rsid w:val="000E32D7"/>
    <w:rsid w:val="000F48F0"/>
    <w:rsid w:val="00112581"/>
    <w:rsid w:val="001402B4"/>
    <w:rsid w:val="00142731"/>
    <w:rsid w:val="00150218"/>
    <w:rsid w:val="00154273"/>
    <w:rsid w:val="00162FE2"/>
    <w:rsid w:val="00163395"/>
    <w:rsid w:val="001749AF"/>
    <w:rsid w:val="001764BF"/>
    <w:rsid w:val="001A2F2F"/>
    <w:rsid w:val="001B2CA9"/>
    <w:rsid w:val="001B300F"/>
    <w:rsid w:val="001C2FD4"/>
    <w:rsid w:val="001C37A4"/>
    <w:rsid w:val="001C384F"/>
    <w:rsid w:val="001D3A3D"/>
    <w:rsid w:val="00201A3B"/>
    <w:rsid w:val="00204D13"/>
    <w:rsid w:val="002424F6"/>
    <w:rsid w:val="00265A50"/>
    <w:rsid w:val="0028212A"/>
    <w:rsid w:val="00282650"/>
    <w:rsid w:val="00284A85"/>
    <w:rsid w:val="00290DB5"/>
    <w:rsid w:val="002A294F"/>
    <w:rsid w:val="002B16E1"/>
    <w:rsid w:val="002B1869"/>
    <w:rsid w:val="002C6443"/>
    <w:rsid w:val="002E0DEA"/>
    <w:rsid w:val="002F3254"/>
    <w:rsid w:val="00307801"/>
    <w:rsid w:val="003113DF"/>
    <w:rsid w:val="00312F73"/>
    <w:rsid w:val="00334A1D"/>
    <w:rsid w:val="00341B7B"/>
    <w:rsid w:val="00341E85"/>
    <w:rsid w:val="00360295"/>
    <w:rsid w:val="0036346E"/>
    <w:rsid w:val="003678CF"/>
    <w:rsid w:val="00373DFD"/>
    <w:rsid w:val="003750D7"/>
    <w:rsid w:val="0038638E"/>
    <w:rsid w:val="00391136"/>
    <w:rsid w:val="003B10F4"/>
    <w:rsid w:val="003B69DA"/>
    <w:rsid w:val="003B6C6A"/>
    <w:rsid w:val="003D4C61"/>
    <w:rsid w:val="003D4CAA"/>
    <w:rsid w:val="003F4C2D"/>
    <w:rsid w:val="0040320A"/>
    <w:rsid w:val="00406902"/>
    <w:rsid w:val="004069A6"/>
    <w:rsid w:val="00407341"/>
    <w:rsid w:val="00415E32"/>
    <w:rsid w:val="00417456"/>
    <w:rsid w:val="00417727"/>
    <w:rsid w:val="00421EE0"/>
    <w:rsid w:val="00423CE3"/>
    <w:rsid w:val="0044086E"/>
    <w:rsid w:val="00460CDC"/>
    <w:rsid w:val="0047396E"/>
    <w:rsid w:val="004D264B"/>
    <w:rsid w:val="004D681C"/>
    <w:rsid w:val="004E71C3"/>
    <w:rsid w:val="004F052E"/>
    <w:rsid w:val="00512650"/>
    <w:rsid w:val="005129D6"/>
    <w:rsid w:val="00513281"/>
    <w:rsid w:val="00513573"/>
    <w:rsid w:val="00522B25"/>
    <w:rsid w:val="00522B94"/>
    <w:rsid w:val="0053466C"/>
    <w:rsid w:val="00536EF5"/>
    <w:rsid w:val="005453D2"/>
    <w:rsid w:val="00546CC6"/>
    <w:rsid w:val="00550104"/>
    <w:rsid w:val="00551DC2"/>
    <w:rsid w:val="00556C42"/>
    <w:rsid w:val="0058282B"/>
    <w:rsid w:val="00587F30"/>
    <w:rsid w:val="00590462"/>
    <w:rsid w:val="005A0F49"/>
    <w:rsid w:val="005D0C1C"/>
    <w:rsid w:val="005E51C5"/>
    <w:rsid w:val="005F0D00"/>
    <w:rsid w:val="005F6AA8"/>
    <w:rsid w:val="005F6DB8"/>
    <w:rsid w:val="00601C34"/>
    <w:rsid w:val="006036A3"/>
    <w:rsid w:val="0061652A"/>
    <w:rsid w:val="0062303B"/>
    <w:rsid w:val="00632E40"/>
    <w:rsid w:val="006409D1"/>
    <w:rsid w:val="006566A3"/>
    <w:rsid w:val="00673F80"/>
    <w:rsid w:val="00680B4B"/>
    <w:rsid w:val="006A47F7"/>
    <w:rsid w:val="006C2D96"/>
    <w:rsid w:val="006D5DD5"/>
    <w:rsid w:val="006E29DC"/>
    <w:rsid w:val="006E6094"/>
    <w:rsid w:val="006F7E9B"/>
    <w:rsid w:val="007003ED"/>
    <w:rsid w:val="00716030"/>
    <w:rsid w:val="007345ED"/>
    <w:rsid w:val="0074133C"/>
    <w:rsid w:val="00744C0B"/>
    <w:rsid w:val="00756FED"/>
    <w:rsid w:val="0077396C"/>
    <w:rsid w:val="00774997"/>
    <w:rsid w:val="007905AE"/>
    <w:rsid w:val="00794FE2"/>
    <w:rsid w:val="00797614"/>
    <w:rsid w:val="007E125A"/>
    <w:rsid w:val="007E6F3A"/>
    <w:rsid w:val="007F682A"/>
    <w:rsid w:val="007F6FD9"/>
    <w:rsid w:val="00800C13"/>
    <w:rsid w:val="008172D0"/>
    <w:rsid w:val="00824609"/>
    <w:rsid w:val="0082493F"/>
    <w:rsid w:val="00824F8A"/>
    <w:rsid w:val="00826209"/>
    <w:rsid w:val="00852D01"/>
    <w:rsid w:val="00861141"/>
    <w:rsid w:val="00895E3D"/>
    <w:rsid w:val="00895FB3"/>
    <w:rsid w:val="008A0FD3"/>
    <w:rsid w:val="008C218C"/>
    <w:rsid w:val="008D1722"/>
    <w:rsid w:val="008E488E"/>
    <w:rsid w:val="008F4C66"/>
    <w:rsid w:val="008F67D9"/>
    <w:rsid w:val="009102F6"/>
    <w:rsid w:val="009127F2"/>
    <w:rsid w:val="00940B3D"/>
    <w:rsid w:val="0094581E"/>
    <w:rsid w:val="0095402C"/>
    <w:rsid w:val="00954DE9"/>
    <w:rsid w:val="00973053"/>
    <w:rsid w:val="00973BA4"/>
    <w:rsid w:val="009959CF"/>
    <w:rsid w:val="009A5349"/>
    <w:rsid w:val="009B156D"/>
    <w:rsid w:val="009B24B0"/>
    <w:rsid w:val="009B5CFD"/>
    <w:rsid w:val="009B5D93"/>
    <w:rsid w:val="00A02552"/>
    <w:rsid w:val="00A06D98"/>
    <w:rsid w:val="00A13A46"/>
    <w:rsid w:val="00A247B8"/>
    <w:rsid w:val="00A25918"/>
    <w:rsid w:val="00A445D0"/>
    <w:rsid w:val="00A45ADE"/>
    <w:rsid w:val="00A47FE6"/>
    <w:rsid w:val="00A51803"/>
    <w:rsid w:val="00A5445E"/>
    <w:rsid w:val="00A5503A"/>
    <w:rsid w:val="00A554CF"/>
    <w:rsid w:val="00A63C34"/>
    <w:rsid w:val="00A95D98"/>
    <w:rsid w:val="00A97B78"/>
    <w:rsid w:val="00AE01A5"/>
    <w:rsid w:val="00AF1864"/>
    <w:rsid w:val="00AF1C96"/>
    <w:rsid w:val="00AF30FA"/>
    <w:rsid w:val="00B043BA"/>
    <w:rsid w:val="00B0762D"/>
    <w:rsid w:val="00B1335B"/>
    <w:rsid w:val="00B41B0F"/>
    <w:rsid w:val="00B4259C"/>
    <w:rsid w:val="00B50C27"/>
    <w:rsid w:val="00B52B38"/>
    <w:rsid w:val="00B57AF3"/>
    <w:rsid w:val="00B7599E"/>
    <w:rsid w:val="00B80BCC"/>
    <w:rsid w:val="00B81164"/>
    <w:rsid w:val="00B825DF"/>
    <w:rsid w:val="00B90B5A"/>
    <w:rsid w:val="00B94395"/>
    <w:rsid w:val="00BC487B"/>
    <w:rsid w:val="00BC7BD9"/>
    <w:rsid w:val="00BD2156"/>
    <w:rsid w:val="00BF7F96"/>
    <w:rsid w:val="00C03465"/>
    <w:rsid w:val="00C07172"/>
    <w:rsid w:val="00C565F9"/>
    <w:rsid w:val="00C67570"/>
    <w:rsid w:val="00CB7AA9"/>
    <w:rsid w:val="00CC471E"/>
    <w:rsid w:val="00CD04A7"/>
    <w:rsid w:val="00CE6C70"/>
    <w:rsid w:val="00CF69C2"/>
    <w:rsid w:val="00D253BB"/>
    <w:rsid w:val="00D35806"/>
    <w:rsid w:val="00D510DF"/>
    <w:rsid w:val="00D600FA"/>
    <w:rsid w:val="00D61A44"/>
    <w:rsid w:val="00D64B5C"/>
    <w:rsid w:val="00D96AB5"/>
    <w:rsid w:val="00DA0844"/>
    <w:rsid w:val="00DA3CA3"/>
    <w:rsid w:val="00DB4BCB"/>
    <w:rsid w:val="00DD148F"/>
    <w:rsid w:val="00DD4220"/>
    <w:rsid w:val="00DF0F70"/>
    <w:rsid w:val="00E06486"/>
    <w:rsid w:val="00E06BD7"/>
    <w:rsid w:val="00E10AD2"/>
    <w:rsid w:val="00E10CF4"/>
    <w:rsid w:val="00E2518B"/>
    <w:rsid w:val="00E43D1D"/>
    <w:rsid w:val="00E51B9A"/>
    <w:rsid w:val="00E52865"/>
    <w:rsid w:val="00E558BE"/>
    <w:rsid w:val="00E57B1B"/>
    <w:rsid w:val="00E723D1"/>
    <w:rsid w:val="00E858B3"/>
    <w:rsid w:val="00E90A0B"/>
    <w:rsid w:val="00EB441A"/>
    <w:rsid w:val="00EB5761"/>
    <w:rsid w:val="00ED0D46"/>
    <w:rsid w:val="00ED397A"/>
    <w:rsid w:val="00ED650A"/>
    <w:rsid w:val="00F000E8"/>
    <w:rsid w:val="00F15EE4"/>
    <w:rsid w:val="00F16AA3"/>
    <w:rsid w:val="00F16E4F"/>
    <w:rsid w:val="00F25D19"/>
    <w:rsid w:val="00F734C9"/>
    <w:rsid w:val="00F743A6"/>
    <w:rsid w:val="00F755CC"/>
    <w:rsid w:val="00F92118"/>
    <w:rsid w:val="00F94C06"/>
    <w:rsid w:val="00FB07E3"/>
    <w:rsid w:val="030C44AB"/>
    <w:rsid w:val="08EF1D0D"/>
    <w:rsid w:val="0A0C7A48"/>
    <w:rsid w:val="12D46D72"/>
    <w:rsid w:val="2271720E"/>
    <w:rsid w:val="34EC1E11"/>
    <w:rsid w:val="38003F94"/>
    <w:rsid w:val="3C8C37ED"/>
    <w:rsid w:val="47A544A4"/>
    <w:rsid w:val="4E224487"/>
    <w:rsid w:val="539E4216"/>
    <w:rsid w:val="55357FCE"/>
    <w:rsid w:val="66A529F3"/>
    <w:rsid w:val="6DA02882"/>
    <w:rsid w:val="70D67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unhideWhenUsed/>
    <w:qFormat/>
    <w:uiPriority w:val="99"/>
    <w:rPr>
      <w:sz w:val="18"/>
      <w:szCs w:val="18"/>
    </w:rPr>
  </w:style>
  <w:style w:type="paragraph" w:styleId="3">
    <w:name w:val="footer"/>
    <w:basedOn w:val="1"/>
    <w:link w:val="10"/>
    <w:autoRedefine/>
    <w:qFormat/>
    <w:uiPriority w:val="99"/>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autoRedefine/>
    <w:qFormat/>
    <w:uiPriority w:val="0"/>
  </w:style>
  <w:style w:type="character" w:customStyle="1" w:styleId="9">
    <w:name w:val="批注框文本 字符"/>
    <w:link w:val="2"/>
    <w:autoRedefine/>
    <w:semiHidden/>
    <w:qFormat/>
    <w:uiPriority w:val="99"/>
    <w:rPr>
      <w:kern w:val="2"/>
      <w:sz w:val="18"/>
      <w:szCs w:val="18"/>
    </w:rPr>
  </w:style>
  <w:style w:type="character" w:customStyle="1" w:styleId="10">
    <w:name w:val="页脚 字符"/>
    <w:basedOn w:val="7"/>
    <w:link w:val="3"/>
    <w:autoRedefine/>
    <w:qFormat/>
    <w:uiPriority w:val="99"/>
    <w:rPr>
      <w:kern w:val="2"/>
      <w:sz w:val="18"/>
      <w:szCs w:val="18"/>
    </w:rPr>
  </w:style>
  <w:style w:type="paragraph" w:customStyle="1" w:styleId="11">
    <w:name w:val="Revision"/>
    <w:autoRedefine/>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0B476-1D50-4C70-8B0A-042306DDBB18}">
  <ds:schemaRefs/>
</ds:datastoreItem>
</file>

<file path=docProps/app.xml><?xml version="1.0" encoding="utf-8"?>
<Properties xmlns="http://schemas.openxmlformats.org/officeDocument/2006/extended-properties" xmlns:vt="http://schemas.openxmlformats.org/officeDocument/2006/docPropsVTypes">
  <Template>Normal.dotm</Template>
  <Company>ma</Company>
  <Pages>3</Pages>
  <Words>2560</Words>
  <Characters>2563</Characters>
  <Lines>19</Lines>
  <Paragraphs>5</Paragraphs>
  <TotalTime>19</TotalTime>
  <ScaleCrop>false</ScaleCrop>
  <LinksUpToDate>false</LinksUpToDate>
  <CharactersWithSpaces>2566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2017-10-23T08:55:00Z</dcterms:created>
  <dc:creator>ma</dc:creator>
  <cp:lastModifiedBy>sing</cp:lastModifiedBy>
  <cp:lastPrinted>2019-10-31T06:42:00Z</cp:lastPrinted>
  <dcterms:modified xsi:type="dcterms:W3CDTF">2024-11-18T06:29:02Z</dcterms:modified>
  <dc:title>支出表内容说明</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F72A51E67830456292AA4B158D1C6D2B_13</vt:lpwstr>
  </property>
</Properties>
</file>